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Послуги зі страхування орендованого майна за кодом  ДК 021:2015: 66510000-8 Страхові послуги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015518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Послуги зі страхування орендованого майна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об’єктів страхування та умови страхування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8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3"/>
        <w:gridCol w:w="4219"/>
        <w:gridCol w:w="1844"/>
        <w:gridCol w:w="1702"/>
        <w:gridCol w:w="1702"/>
        <w:gridCol w:w="850"/>
      </w:tblGrid>
      <w:tr>
        <w:trPr>
          <w:cantSplit/>
          <w:trHeight w:val="1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та місцезнаходження орендованої нерухомості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Оціночна або балансова вартість орендованої нерухомості, грн.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 орендованої нерухомості,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Страхова сума, грн.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tbRl"/>
            <w:noWrap w:val="false"/>
          </w:tcPr>
          <w:p>
            <w:pPr>
              <w:ind w:left="113" w:right="113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Франшиза</w:t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7" w:type="dxa"/>
            <w:vAlign w:val="center"/>
            <w:textDirection w:val="lrTb"/>
            <w:noWrap w:val="false"/>
          </w:tcPr>
          <w:p>
            <w:pPr>
              <w:pStyle w:val="714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Нежитлові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приміщення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ru-RU"/>
              </w:rPr>
              <w:t xml:space="preserve">третій</w:t>
            </w:r>
            <w:r>
              <w:rPr>
                <w:color w:val="000000"/>
                <w:lang w:val="ru-RU"/>
              </w:rPr>
              <w:t xml:space="preserve"> поверх </w:t>
            </w:r>
            <w:r>
              <w:rPr>
                <w:color w:val="000000"/>
                <w:lang w:val="ru-RU"/>
              </w:rPr>
              <w:t xml:space="preserve">адміністративної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будівлі</w:t>
            </w:r>
            <w:r>
              <w:rPr>
                <w:color w:val="000000"/>
                <w:lang w:val="ru-RU"/>
              </w:rPr>
              <w:t xml:space="preserve">) за </w:t>
            </w:r>
            <w:r>
              <w:rPr>
                <w:color w:val="000000"/>
                <w:lang w:val="ru-RU"/>
              </w:rPr>
              <w:t xml:space="preserve">адресою</w:t>
            </w:r>
            <w:r>
              <w:rPr>
                <w:color w:val="000000"/>
                <w:lang w:val="ru-RU"/>
              </w:rPr>
              <w:t xml:space="preserve">: </w:t>
            </w:r>
            <w:r>
              <w:rPr>
                <w:color w:val="000000"/>
                <w:lang w:val="ru-RU"/>
              </w:rPr>
              <w:br/>
              <w:t xml:space="preserve">м. </w:t>
            </w:r>
            <w:r>
              <w:rPr>
                <w:color w:val="000000"/>
                <w:lang w:val="ru-RU"/>
              </w:rPr>
              <w:t xml:space="preserve">Київ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вул</w:t>
            </w:r>
            <w:r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ru-RU"/>
              </w:rPr>
              <w:t xml:space="preserve">Довнар-Запольського</w:t>
            </w:r>
            <w:r>
              <w:rPr>
                <w:color w:val="000000"/>
                <w:lang w:val="ru-RU"/>
              </w:rPr>
              <w:t xml:space="preserve">, 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2 377 401,46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132,4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2 377 401,46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0%</w:t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7" w:type="dxa"/>
            <w:vAlign w:val="center"/>
            <w:textDirection w:val="lrTb"/>
            <w:noWrap w:val="false"/>
          </w:tcPr>
          <w:p>
            <w:pPr>
              <w:pStyle w:val="714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Нежитлові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приміщення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ru-RU"/>
              </w:rPr>
              <w:t xml:space="preserve">частина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третього</w:t>
            </w:r>
            <w:r>
              <w:rPr>
                <w:color w:val="000000"/>
                <w:lang w:val="ru-RU"/>
              </w:rPr>
              <w:t xml:space="preserve"> поверху </w:t>
            </w:r>
            <w:r>
              <w:rPr>
                <w:color w:val="000000"/>
                <w:lang w:val="ru-RU"/>
              </w:rPr>
              <w:t xml:space="preserve">будівлі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літера</w:t>
            </w:r>
            <w:r>
              <w:rPr>
                <w:color w:val="000000"/>
                <w:lang w:val="ru-RU"/>
              </w:rPr>
              <w:t xml:space="preserve"> П) за </w:t>
            </w:r>
            <w:r>
              <w:rPr>
                <w:color w:val="000000"/>
                <w:lang w:val="ru-RU"/>
              </w:rPr>
              <w:t xml:space="preserve">адресою</w:t>
            </w:r>
            <w:r>
              <w:rPr>
                <w:color w:val="000000"/>
                <w:lang w:val="ru-RU"/>
              </w:rPr>
              <w:t xml:space="preserve">: м. </w:t>
            </w:r>
            <w:r>
              <w:rPr>
                <w:color w:val="000000"/>
                <w:lang w:val="ru-RU"/>
              </w:rPr>
              <w:t xml:space="preserve">Київ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вул</w:t>
            </w:r>
            <w:r>
              <w:rPr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ru-RU"/>
              </w:rPr>
              <w:t xml:space="preserve">Довнар-Запольського</w:t>
            </w:r>
            <w:r>
              <w:rPr>
                <w:color w:val="000000"/>
                <w:lang w:val="ru-RU"/>
              </w:rPr>
              <w:t xml:space="preserve">, 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2 094 921,64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166,6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2 094 921,64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0%</w:t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4 361,00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 тисячі триста шістдесят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2023-10-30T11:39:21Z</dcterms:modified>
</cp:coreProperties>
</file>