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9615905"/>
      <w:r>
        <w:rPr>
          <w:b w:val="0"/>
          <w:bCs w:val="0"/>
          <w:sz w:val="24"/>
          <w:szCs w:val="24"/>
        </w:rPr>
        <w:t xml:space="preserve">Закупівля комплекту </w:t>
      </w:r>
      <w:r>
        <w:rPr>
          <w:b w:val="0"/>
          <w:bCs w:val="0"/>
          <w:sz w:val="24"/>
          <w:szCs w:val="24"/>
        </w:rPr>
        <w:t xml:space="preserve">кулерів</w:t>
      </w:r>
      <w:r>
        <w:rPr>
          <w:b w:val="0"/>
          <w:bCs w:val="0"/>
          <w:sz w:val="24"/>
          <w:szCs w:val="24"/>
        </w:rPr>
        <w:t xml:space="preserve"> для води та комплекту холодильників на об’єкт за ДК 021:2015: 39710000-2  Електричні побутові прилади</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9524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комплекту </w:t>
      </w:r>
      <w:r>
        <w:rPr>
          <w:rFonts w:ascii="Times New Roman" w:hAnsi="Times New Roman" w:cs="Times New Roman"/>
          <w:bCs/>
          <w:sz w:val="24"/>
          <w:szCs w:val="24"/>
        </w:rPr>
        <w:t xml:space="preserve">кулерів</w:t>
      </w:r>
      <w:r>
        <w:rPr>
          <w:rFonts w:ascii="Times New Roman" w:hAnsi="Times New Roman" w:cs="Times New Roman"/>
          <w:bCs/>
          <w:sz w:val="24"/>
          <w:szCs w:val="24"/>
        </w:rPr>
        <w:t xml:space="preserve"> для води та комплекту холодильників на об’єкт за ДК 021:2015: 39710000-2  Електричні побутові прилади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pPr>
            <w:r>
              <w:rPr>
                <w:b/>
                <w:bCs/>
              </w:rPr>
              <w:t xml:space="preserve">1</w:t>
            </w:r>
            <w:r/>
          </w:p>
        </w:tc>
        <w:tc>
          <w:tcPr>
            <w:tcW w:w="5670" w:type="dxa"/>
            <w:textDirection w:val="lrTb"/>
            <w:noWrap w:val="false"/>
          </w:tcPr>
          <w:p>
            <w:pPr>
              <w:pStyle w:val="738"/>
              <w:rPr>
                <w:b/>
                <w:bCs/>
              </w:rPr>
            </w:pPr>
            <w:r>
              <w:rPr>
                <w:rStyle w:val="765"/>
                <w:b/>
                <w:bCs/>
                <w:color w:val="000000"/>
                <w:shd w:val="clear" w:color="auto" w:fill="ffffff"/>
              </w:rPr>
              <w:t xml:space="preserve">Комплект </w:t>
            </w:r>
            <w:r>
              <w:rPr>
                <w:rStyle w:val="765"/>
                <w:b/>
                <w:bCs/>
                <w:color w:val="000000"/>
                <w:shd w:val="clear" w:color="auto" w:fill="ffffff"/>
              </w:rPr>
              <w:t xml:space="preserve">кулерів</w:t>
            </w:r>
            <w:r>
              <w:rPr>
                <w:rStyle w:val="765"/>
                <w:b/>
                <w:bCs/>
                <w:color w:val="000000"/>
                <w:shd w:val="clear" w:color="auto" w:fill="ffffff"/>
              </w:rPr>
              <w:t xml:space="preserve"> для води,</w:t>
            </w:r>
            <w:r>
              <w:rPr>
                <w:rStyle w:val="765"/>
                <w:color w:val="000000"/>
                <w:shd w:val="clear" w:color="auto" w:fill="ffffff"/>
              </w:rPr>
              <w:t xml:space="preserve"> </w:t>
            </w:r>
            <w:r>
              <w:rPr>
                <w:rStyle w:val="765"/>
                <w:i/>
                <w:iCs/>
                <w:color w:val="000000"/>
                <w:shd w:val="clear" w:color="auto" w:fill="ffffff"/>
              </w:rPr>
              <w:t xml:space="preserve">у складі:</w:t>
            </w:r>
            <w:r/>
          </w:p>
        </w:tc>
        <w:tc>
          <w:tcPr>
            <w:tcW w:w="1701" w:type="dxa"/>
            <w:vAlign w:val="center"/>
            <w:textDirection w:val="lrTb"/>
            <w:noWrap w:val="false"/>
          </w:tcPr>
          <w:p>
            <w:pPr>
              <w:pStyle w:val="738"/>
              <w:jc w:val="center"/>
            </w:pPr>
            <w:r>
              <w:t xml:space="preserve">комплект.</w:t>
            </w:r>
            <w:r/>
          </w:p>
        </w:tc>
        <w:tc>
          <w:tcPr>
            <w:tcW w:w="1701" w:type="dxa"/>
            <w:vAlign w:val="center"/>
            <w:textDirection w:val="lrTb"/>
            <w:noWrap w:val="false"/>
          </w:tcPr>
          <w:p>
            <w:pPr>
              <w:pStyle w:val="738"/>
              <w:jc w:val="center"/>
            </w:pPr>
            <w:r>
              <w:rPr>
                <w:b/>
              </w:rPr>
              <w:t xml:space="preserve">1</w:t>
            </w:r>
            <w:r/>
          </w:p>
        </w:tc>
      </w:tr>
      <w:tr>
        <w:trPr/>
        <w:tc>
          <w:tcPr>
            <w:tcW w:w="562" w:type="dxa"/>
            <w:vAlign w:val="center"/>
            <w:textDirection w:val="lrTb"/>
            <w:noWrap w:val="false"/>
          </w:tcPr>
          <w:p>
            <w:pPr>
              <w:pStyle w:val="738"/>
              <w:jc w:val="center"/>
              <w:rPr>
                <w:b/>
                <w:bCs/>
              </w:rPr>
            </w:pPr>
            <w:r>
              <w:rPr>
                <w:b/>
                <w:bCs/>
              </w:rPr>
              <w:t xml:space="preserve">1.1</w:t>
            </w:r>
            <w:r/>
          </w:p>
        </w:tc>
        <w:tc>
          <w:tcPr>
            <w:tcW w:w="5670" w:type="dxa"/>
            <w:textDirection w:val="lrTb"/>
            <w:noWrap w:val="false"/>
          </w:tcPr>
          <w:p>
            <w:pPr>
              <w:pStyle w:val="738"/>
              <w:rPr>
                <w:rStyle w:val="765"/>
                <w:color w:val="000000"/>
                <w:shd w:val="clear" w:color="auto" w:fill="ffffff"/>
              </w:rPr>
            </w:pPr>
            <w:r>
              <w:rPr>
                <w:rStyle w:val="765"/>
                <w:color w:val="000000"/>
                <w:shd w:val="clear" w:color="auto" w:fill="ffffff"/>
              </w:rPr>
              <w:t xml:space="preserve">Кулер</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r>
        <w:trPr/>
        <w:tc>
          <w:tcPr>
            <w:tcW w:w="562" w:type="dxa"/>
            <w:vAlign w:val="center"/>
            <w:textDirection w:val="lrTb"/>
            <w:noWrap w:val="false"/>
          </w:tcPr>
          <w:p>
            <w:pPr>
              <w:pStyle w:val="738"/>
              <w:jc w:val="center"/>
              <w:rPr>
                <w:b/>
                <w:bCs/>
              </w:rPr>
            </w:pPr>
            <w:r>
              <w:rPr>
                <w:b/>
                <w:bCs/>
              </w:rPr>
              <w:t xml:space="preserve">2</w:t>
            </w:r>
            <w:r/>
          </w:p>
        </w:tc>
        <w:tc>
          <w:tcPr>
            <w:tcW w:w="5670" w:type="dxa"/>
            <w:textDirection w:val="lrTb"/>
            <w:noWrap w:val="false"/>
          </w:tcPr>
          <w:p>
            <w:pPr>
              <w:pStyle w:val="738"/>
              <w:rPr>
                <w:rStyle w:val="765"/>
                <w:b/>
                <w:bCs/>
                <w:color w:val="000000"/>
                <w:shd w:val="clear" w:color="auto" w:fill="ffffff"/>
              </w:rPr>
            </w:pPr>
            <w:r>
              <w:rPr>
                <w:b/>
                <w:bCs/>
              </w:rPr>
              <w:t xml:space="preserve">Комплект холодильників,</w:t>
            </w:r>
            <w:r>
              <w:rPr>
                <w:rStyle w:val="765"/>
                <w:i/>
                <w:iCs/>
                <w:color w:val="000000"/>
                <w:shd w:val="clear" w:color="auto" w:fill="ffffff"/>
              </w:rPr>
              <w:t xml:space="preserve"> у складі:</w:t>
            </w:r>
            <w:r/>
          </w:p>
        </w:tc>
        <w:tc>
          <w:tcPr>
            <w:tcW w:w="1701" w:type="dxa"/>
            <w:vAlign w:val="center"/>
            <w:textDirection w:val="lrTb"/>
            <w:noWrap w:val="false"/>
          </w:tcPr>
          <w:p>
            <w:pPr>
              <w:pStyle w:val="738"/>
              <w:jc w:val="center"/>
            </w:pPr>
            <w:r>
              <w:t xml:space="preserve">комплект.</w:t>
            </w:r>
            <w:r/>
          </w:p>
        </w:tc>
        <w:tc>
          <w:tcPr>
            <w:tcW w:w="1701" w:type="dxa"/>
            <w:vAlign w:val="center"/>
            <w:textDirection w:val="lrTb"/>
            <w:noWrap w:val="false"/>
          </w:tcPr>
          <w:p>
            <w:pPr>
              <w:pStyle w:val="738"/>
              <w:jc w:val="center"/>
              <w:rPr>
                <w:b/>
              </w:rPr>
            </w:pPr>
            <w:r>
              <w:rPr>
                <w:b/>
              </w:rPr>
              <w:t xml:space="preserve">1</w:t>
            </w:r>
            <w:r/>
          </w:p>
        </w:tc>
      </w:tr>
      <w:tr>
        <w:trPr/>
        <w:tc>
          <w:tcPr>
            <w:tcW w:w="562" w:type="dxa"/>
            <w:vAlign w:val="center"/>
            <w:textDirection w:val="lrTb"/>
            <w:noWrap w:val="false"/>
          </w:tcPr>
          <w:p>
            <w:pPr>
              <w:pStyle w:val="738"/>
              <w:jc w:val="center"/>
              <w:rPr>
                <w:b/>
                <w:bCs/>
              </w:rPr>
            </w:pPr>
            <w:r>
              <w:rPr>
                <w:b/>
                <w:bCs/>
              </w:rPr>
              <w:t xml:space="preserve">2.1</w:t>
            </w:r>
            <w:r/>
          </w:p>
        </w:tc>
        <w:tc>
          <w:tcPr>
            <w:tcW w:w="5670" w:type="dxa"/>
            <w:textDirection w:val="lrTb"/>
            <w:noWrap w:val="false"/>
          </w:tcPr>
          <w:p>
            <w:pPr>
              <w:pStyle w:val="738"/>
            </w:pPr>
            <w:r>
              <w:t xml:space="preserve">Холодильник</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rPr>
                <w:bCs/>
              </w:rPr>
            </w:pPr>
            <w:r>
              <w:rPr>
                <w:bCs/>
              </w:rPr>
              <w:t xml:space="preserve">2</w:t>
            </w:r>
            <w:r/>
          </w:p>
        </w:tc>
      </w:tr>
    </w:tbl>
    <w:p>
      <w:pPr>
        <w:pStyle w:val="738"/>
        <w:jc w:val="both"/>
        <w:spacing w:after="0"/>
        <w:rPr>
          <w:b/>
          <w:bCs/>
          <w:i/>
          <w:iCs/>
          <w:lang w:eastAsia="ru-RU"/>
        </w:rPr>
      </w:pPr>
      <w:r>
        <w:rPr>
          <w:b/>
          <w:bCs/>
          <w:i/>
          <w:iCs/>
          <w:lang w:eastAsia="ru-RU"/>
        </w:rPr>
      </w:r>
      <w:r/>
    </w:p>
    <w:p>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bCs/>
          <w:i/>
          <w:iCs/>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bCs/>
          <w:i/>
          <w:iCs/>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w:t>
      </w:r>
      <w:r>
        <w:rPr>
          <w:rFonts w:ascii="Times New Roman" w:hAnsi="Times New Roman" w:cs="Times New Roman"/>
          <w:b/>
          <w:sz w:val="24"/>
          <w:szCs w:val="24"/>
          <w:u w:val="single"/>
          <w:lang w:eastAsia="uk-UA"/>
        </w:rPr>
        <w:t xml:space="preserve">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w:t>
      </w:r>
      <w:r>
        <w:rPr>
          <w:rFonts w:ascii="Times New Roman" w:hAnsi="Times New Roman" w:cs="Times New Roman"/>
          <w:sz w:val="24"/>
          <w:szCs w:val="24"/>
          <w:lang w:eastAsia="uk-UA"/>
        </w:rPr>
        <w:t xml:space="preserve">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Гарантія на товар повинна бути не менше гарантії виробника та складати не менше 12 (дванадцять) місяців </w:t>
      </w:r>
      <w:r>
        <w:rPr>
          <w:rFonts w:ascii="Times New Roman" w:hAnsi="Times New Roman" w:cs="Times New Roman"/>
          <w:b/>
          <w:sz w:val="24"/>
          <w:szCs w:val="24"/>
          <w:lang w:eastAsia="uk-UA"/>
        </w:rPr>
        <w:t xml:space="preserve">(надати гарантійний лист)</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rFonts w:ascii="Times New Roman" w:hAnsi="Times New Roman" w:cs="Times New Roman"/>
          <w:bCs/>
          <w:i/>
          <w:iCs/>
          <w:sz w:val="24"/>
          <w:szCs w:val="24"/>
        </w:rPr>
      </w:pPr>
      <w:r>
        <w:rPr>
          <w:rFonts w:ascii="Times New Roman" w:hAnsi="Times New Roman" w:cs="Times New Roman"/>
          <w:bCs/>
          <w:i/>
          <w:iCs/>
          <w:sz w:val="24"/>
          <w:szCs w:val="24"/>
        </w:rPr>
      </w:r>
      <w:r/>
    </w:p>
    <w:p>
      <w:pPr>
        <w:pStyle w:val="734"/>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8"/>
        <w:gridCol w:w="6688"/>
        <w:gridCol w:w="1241"/>
        <w:gridCol w:w="1177"/>
      </w:tblGrid>
      <w:tr>
        <w:trPr>
          <w:trHeight w:val="768"/>
        </w:trPr>
        <w:tc>
          <w:tcPr>
            <w:shd w:val="clear" w:color="auto" w:fill="auto"/>
            <w:tcW w:w="528"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w:t>
            </w:r>
            <w:r/>
          </w:p>
          <w:p>
            <w:pPr>
              <w:pStyle w:val="754"/>
              <w:jc w:val="center"/>
              <w:rPr>
                <w:rFonts w:ascii="Times New Roman" w:hAnsi="Times New Roman"/>
                <w:sz w:val="24"/>
                <w:szCs w:val="24"/>
              </w:rPr>
            </w:pPr>
            <w:r>
              <w:rPr>
                <w:rFonts w:ascii="Times New Roman" w:hAnsi="Times New Roman"/>
                <w:sz w:val="24"/>
                <w:szCs w:val="24"/>
              </w:rPr>
              <w:t xml:space="preserve">з/п</w:t>
            </w:r>
            <w:r/>
          </w:p>
        </w:tc>
        <w:tc>
          <w:tcPr>
            <w:shd w:val="clear" w:color="auto" w:fill="auto"/>
            <w:tcW w:w="6688"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Найменування обладнання</w:t>
            </w:r>
            <w:r/>
          </w:p>
        </w:tc>
        <w:tc>
          <w:tcPr>
            <w:shd w:val="clear" w:color="auto" w:fill="auto"/>
            <w:tcW w:w="1241"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Од.</w:t>
            </w:r>
            <w:r/>
          </w:p>
          <w:p>
            <w:pPr>
              <w:pStyle w:val="754"/>
              <w:jc w:val="center"/>
              <w:rPr>
                <w:rFonts w:ascii="Times New Roman" w:hAnsi="Times New Roman"/>
                <w:sz w:val="24"/>
                <w:szCs w:val="24"/>
              </w:rPr>
            </w:pPr>
            <w:r>
              <w:rPr>
                <w:rFonts w:ascii="Times New Roman" w:hAnsi="Times New Roman"/>
                <w:sz w:val="24"/>
                <w:szCs w:val="24"/>
              </w:rPr>
              <w:t xml:space="preserve">виміру</w:t>
            </w:r>
            <w:r/>
          </w:p>
        </w:tc>
        <w:tc>
          <w:tcPr>
            <w:shd w:val="clear" w:color="auto" w:fill="auto"/>
            <w:tcW w:w="1177"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Кількість</w:t>
            </w:r>
            <w:r/>
          </w:p>
        </w:tc>
      </w:tr>
      <w:tr>
        <w:trPr>
          <w:trHeight w:val="267"/>
        </w:trPr>
        <w:tc>
          <w:tcPr>
            <w:shd w:val="clear" w:color="auto" w:fill="auto"/>
            <w:tcW w:w="528" w:type="dxa"/>
            <w:vAlign w:val="center"/>
            <w:textDirection w:val="lrTb"/>
            <w:noWrap w:val="false"/>
          </w:tcPr>
          <w:p>
            <w:pPr>
              <w:pStyle w:val="754"/>
              <w:jc w:val="center"/>
              <w:rPr>
                <w:rFonts w:ascii="Times New Roman" w:hAnsi="Times New Roman"/>
                <w:sz w:val="24"/>
                <w:szCs w:val="24"/>
              </w:rPr>
            </w:pPr>
            <w:r>
              <w:rPr>
                <w:rFonts w:ascii="Times New Roman" w:hAnsi="Times New Roman"/>
                <w:b/>
                <w:bCs/>
                <w:sz w:val="24"/>
                <w:szCs w:val="24"/>
              </w:rPr>
              <w:t xml:space="preserve">1</w:t>
            </w:r>
            <w:r/>
          </w:p>
        </w:tc>
        <w:tc>
          <w:tcPr>
            <w:shd w:val="clear" w:color="auto" w:fill="auto"/>
            <w:tcW w:w="6688" w:type="dxa"/>
            <w:textDirection w:val="lrTb"/>
            <w:noWrap w:val="false"/>
          </w:tcPr>
          <w:p>
            <w:pPr>
              <w:pStyle w:val="754"/>
              <w:jc w:val="center"/>
              <w:rPr>
                <w:rFonts w:ascii="Times New Roman" w:hAnsi="Times New Roman"/>
                <w:sz w:val="24"/>
                <w:szCs w:val="24"/>
              </w:rPr>
            </w:pPr>
            <w:r>
              <w:rPr>
                <w:rStyle w:val="765"/>
                <w:rFonts w:ascii="Times New Roman" w:hAnsi="Times New Roman" w:eastAsiaTheme="majorEastAsia"/>
                <w:b/>
                <w:bCs/>
                <w:color w:val="000000"/>
                <w:sz w:val="24"/>
                <w:szCs w:val="24"/>
                <w:shd w:val="clear" w:color="auto" w:fill="ffffff"/>
              </w:rPr>
              <w:t xml:space="preserve">Комплект </w:t>
            </w:r>
            <w:r>
              <w:rPr>
                <w:rStyle w:val="765"/>
                <w:rFonts w:ascii="Times New Roman" w:hAnsi="Times New Roman" w:eastAsiaTheme="majorEastAsia"/>
                <w:b/>
                <w:bCs/>
                <w:color w:val="000000"/>
                <w:sz w:val="24"/>
                <w:szCs w:val="24"/>
                <w:shd w:val="clear" w:color="auto" w:fill="ffffff"/>
              </w:rPr>
              <w:t xml:space="preserve">кулерів</w:t>
            </w:r>
            <w:r>
              <w:rPr>
                <w:rStyle w:val="765"/>
                <w:rFonts w:ascii="Times New Roman" w:hAnsi="Times New Roman" w:eastAsiaTheme="majorEastAsia"/>
                <w:b/>
                <w:bCs/>
                <w:color w:val="000000"/>
                <w:sz w:val="24"/>
                <w:szCs w:val="24"/>
                <w:shd w:val="clear" w:color="auto" w:fill="ffffff"/>
              </w:rPr>
              <w:t xml:space="preserve"> для води,</w:t>
            </w:r>
            <w:r>
              <w:rPr>
                <w:rStyle w:val="765"/>
                <w:rFonts w:ascii="Times New Roman" w:hAnsi="Times New Roman" w:eastAsiaTheme="majorEastAsia"/>
                <w:color w:val="000000"/>
                <w:sz w:val="24"/>
                <w:szCs w:val="24"/>
                <w:shd w:val="clear" w:color="auto" w:fill="ffffff"/>
              </w:rPr>
              <w:t xml:space="preserve"> </w:t>
            </w:r>
            <w:r>
              <w:rPr>
                <w:rStyle w:val="765"/>
                <w:rFonts w:ascii="Times New Roman" w:hAnsi="Times New Roman" w:eastAsiaTheme="majorEastAsia"/>
                <w:i/>
                <w:iCs/>
                <w:color w:val="000000"/>
                <w:sz w:val="24"/>
                <w:szCs w:val="24"/>
                <w:shd w:val="clear" w:color="auto" w:fill="ffffff"/>
              </w:rPr>
              <w:t xml:space="preserve">у складі:</w:t>
            </w:r>
            <w:r/>
          </w:p>
        </w:tc>
        <w:tc>
          <w:tcPr>
            <w:shd w:val="clear" w:color="auto" w:fill="auto"/>
            <w:tcW w:w="1241" w:type="dxa"/>
            <w:vAlign w:val="center"/>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комплект.</w:t>
            </w:r>
            <w:r/>
          </w:p>
        </w:tc>
        <w:tc>
          <w:tcPr>
            <w:shd w:val="clear" w:color="auto" w:fill="auto"/>
            <w:tcW w:w="1177" w:type="dxa"/>
            <w:vAlign w:val="center"/>
            <w:textDirection w:val="lrTb"/>
            <w:noWrap w:val="false"/>
          </w:tcPr>
          <w:p>
            <w:pPr>
              <w:pStyle w:val="754"/>
              <w:jc w:val="center"/>
              <w:rPr>
                <w:rFonts w:ascii="Times New Roman" w:hAnsi="Times New Roman"/>
                <w:sz w:val="24"/>
                <w:szCs w:val="24"/>
              </w:rPr>
            </w:pPr>
            <w:r>
              <w:rPr>
                <w:rFonts w:ascii="Times New Roman" w:hAnsi="Times New Roman"/>
                <w:b/>
                <w:sz w:val="24"/>
                <w:szCs w:val="24"/>
              </w:rPr>
              <w:t xml:space="preserve">1</w:t>
            </w:r>
            <w:r/>
          </w:p>
        </w:tc>
      </w:tr>
      <w:tr>
        <w:trPr>
          <w:trHeight w:val="409"/>
        </w:trPr>
        <w:tc>
          <w:tcPr>
            <w:shd w:val="clear" w:color="auto" w:fill="auto"/>
            <w:tcW w:w="528"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1.1</w:t>
            </w:r>
            <w:r/>
          </w:p>
        </w:tc>
        <w:tc>
          <w:tcPr>
            <w:shd w:val="clear" w:color="auto" w:fill="auto"/>
            <w:tcW w:w="6688" w:type="dxa"/>
            <w:textDirection w:val="lrTb"/>
            <w:noWrap w:val="false"/>
          </w:tcPr>
          <w:p>
            <w:pPr>
              <w:pStyle w:val="754"/>
              <w:jc w:val="center"/>
              <w:rPr>
                <w:rFonts w:ascii="Times New Roman" w:hAnsi="Times New Roman"/>
                <w:b/>
                <w:bCs/>
                <w:sz w:val="24"/>
                <w:szCs w:val="24"/>
              </w:rPr>
            </w:pPr>
            <w:r>
              <w:rPr>
                <w:rStyle w:val="765"/>
                <w:rFonts w:ascii="Times New Roman" w:hAnsi="Times New Roman" w:eastAsiaTheme="majorEastAsia"/>
                <w:b/>
                <w:bCs/>
                <w:color w:val="000000"/>
                <w:sz w:val="24"/>
                <w:szCs w:val="24"/>
                <w:shd w:val="clear" w:color="auto" w:fill="ffffff"/>
              </w:rPr>
              <w:t xml:space="preserve">Кулер</w:t>
            </w:r>
            <w:r>
              <w:rPr>
                <w:rStyle w:val="765"/>
                <w:rFonts w:ascii="Times New Roman" w:hAnsi="Times New Roman" w:eastAsiaTheme="majorEastAsia"/>
                <w:b/>
                <w:bCs/>
                <w:color w:val="000000"/>
                <w:sz w:val="24"/>
                <w:szCs w:val="24"/>
                <w:shd w:val="clear" w:color="auto" w:fill="ffffff"/>
              </w:rPr>
              <w:t xml:space="preserve"> </w:t>
            </w:r>
            <w:r/>
          </w:p>
        </w:tc>
        <w:tc>
          <w:tcPr>
            <w:shd w:val="clear" w:color="auto" w:fill="auto"/>
            <w:tcW w:w="1241" w:type="dxa"/>
            <w:vAlign w:val="center"/>
            <w:textDirection w:val="lrTb"/>
            <w:noWrap w:val="false"/>
          </w:tcPr>
          <w:p>
            <w:pPr>
              <w:pStyle w:val="754"/>
              <w:jc w:val="center"/>
              <w:rPr>
                <w:rFonts w:ascii="Times New Roman" w:hAnsi="Times New Roman"/>
                <w:b/>
                <w:bCs/>
                <w:sz w:val="24"/>
                <w:szCs w:val="24"/>
              </w:rPr>
            </w:pPr>
            <w:r>
              <w:rPr>
                <w:rFonts w:ascii="Times New Roman" w:hAnsi="Times New Roman"/>
                <w:sz w:val="24"/>
                <w:szCs w:val="24"/>
              </w:rPr>
              <w:t xml:space="preserve">шт.</w:t>
            </w:r>
            <w:r/>
          </w:p>
        </w:tc>
        <w:tc>
          <w:tcPr>
            <w:shd w:val="clear" w:color="auto" w:fill="auto"/>
            <w:tcW w:w="1177"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2</w:t>
            </w:r>
            <w:r/>
          </w:p>
        </w:tc>
      </w:tr>
      <w:tr>
        <w:trPr>
          <w:trHeight w:val="1266"/>
        </w:trPr>
        <w:tc>
          <w:tcPr>
            <w:gridSpan w:val="4"/>
            <w:shd w:val="clear" w:color="auto" w:fill="auto"/>
            <w:tcW w:w="9634" w:type="dxa"/>
            <w:textDirection w:val="lrTb"/>
            <w:noWrap w:val="false"/>
          </w:tcPr>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Основні функції:</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подача води кімнатної температури, нагрів, охолодження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Тип охолодження: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електронний</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Тип установки: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підлоговий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Розміщення бутля: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нижнє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Використовувана вода: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бутильована</w:t>
            </w:r>
            <w:r>
              <w:rPr>
                <w:rFonts w:ascii="Times New Roman" w:hAnsi="Times New Roman" w:cs="Times New Roman"/>
                <w:sz w:val="24"/>
                <w:szCs w:val="24"/>
                <w:shd w:val="clear" w:color="auto" w:fill="ffffff"/>
              </w:rPr>
              <w:t xml:space="preserve">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Дисплей:</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без дисплея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Тип шафки: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з місцем під бутель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Подача води: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холодна, гаряча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Живлення: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220-240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Регулювання температури: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від +0 °С до +99 °С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Клас енергоспоживання: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не гірше B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Охолодження:</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10 °C </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Наявність захисту від дітей:</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з захистом від дітей </w:t>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Вага: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не більше 20 кг </w:t>
            </w:r>
            <w:r/>
          </w:p>
        </w:tc>
      </w:tr>
      <w:tr>
        <w:trPr>
          <w:trHeight w:val="409"/>
        </w:trPr>
        <w:tc>
          <w:tcPr>
            <w:shd w:val="clear" w:color="auto" w:fill="auto"/>
            <w:tcW w:w="528"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2</w:t>
            </w:r>
            <w:r/>
          </w:p>
        </w:tc>
        <w:tc>
          <w:tcPr>
            <w:shd w:val="clear" w:color="auto" w:fill="auto"/>
            <w:tcW w:w="6688" w:type="dxa"/>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Комплект холодильників,</w:t>
            </w:r>
            <w:r>
              <w:rPr>
                <w:rStyle w:val="765"/>
                <w:rFonts w:ascii="Times New Roman" w:hAnsi="Times New Roman" w:eastAsiaTheme="majorEastAsia"/>
                <w:i/>
                <w:iCs/>
                <w:color w:val="000000"/>
                <w:sz w:val="24"/>
                <w:szCs w:val="24"/>
                <w:shd w:val="clear" w:color="auto" w:fill="ffffff"/>
              </w:rPr>
              <w:t xml:space="preserve"> у складі:</w:t>
            </w:r>
            <w:r/>
          </w:p>
        </w:tc>
        <w:tc>
          <w:tcPr>
            <w:shd w:val="clear" w:color="auto" w:fill="auto"/>
            <w:tcW w:w="1241" w:type="dxa"/>
            <w:vAlign w:val="center"/>
            <w:textDirection w:val="lrTb"/>
            <w:noWrap w:val="false"/>
          </w:tcPr>
          <w:p>
            <w:pPr>
              <w:pStyle w:val="754"/>
              <w:jc w:val="center"/>
              <w:rPr>
                <w:rFonts w:ascii="Times New Roman" w:hAnsi="Times New Roman"/>
                <w:b/>
                <w:bCs/>
                <w:sz w:val="24"/>
                <w:szCs w:val="24"/>
              </w:rPr>
            </w:pPr>
            <w:r>
              <w:rPr>
                <w:rFonts w:ascii="Times New Roman" w:hAnsi="Times New Roman"/>
                <w:sz w:val="24"/>
                <w:szCs w:val="24"/>
              </w:rPr>
              <w:t xml:space="preserve">комплект.</w:t>
            </w:r>
            <w:r/>
          </w:p>
        </w:tc>
        <w:tc>
          <w:tcPr>
            <w:shd w:val="clear" w:color="auto" w:fill="auto"/>
            <w:tcW w:w="1177" w:type="dxa"/>
            <w:vAlign w:val="center"/>
            <w:textDirection w:val="lrTb"/>
            <w:noWrap w:val="false"/>
          </w:tcPr>
          <w:p>
            <w:pPr>
              <w:pStyle w:val="754"/>
              <w:jc w:val="center"/>
              <w:rPr>
                <w:rFonts w:ascii="Times New Roman" w:hAnsi="Times New Roman"/>
                <w:b/>
                <w:bCs/>
                <w:sz w:val="24"/>
                <w:szCs w:val="24"/>
              </w:rPr>
            </w:pPr>
            <w:r>
              <w:rPr>
                <w:rFonts w:ascii="Times New Roman" w:hAnsi="Times New Roman"/>
                <w:b/>
                <w:sz w:val="24"/>
                <w:szCs w:val="24"/>
              </w:rPr>
              <w:t xml:space="preserve">1</w:t>
            </w:r>
            <w:r/>
          </w:p>
        </w:tc>
      </w:tr>
      <w:tr>
        <w:trPr>
          <w:trHeight w:val="409"/>
        </w:trPr>
        <w:tc>
          <w:tcPr>
            <w:shd w:val="clear" w:color="auto" w:fill="auto"/>
            <w:tcW w:w="528"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2.1</w:t>
            </w:r>
            <w:r/>
          </w:p>
        </w:tc>
        <w:tc>
          <w:tcPr>
            <w:shd w:val="clear" w:color="auto" w:fill="auto"/>
            <w:tcW w:w="6688" w:type="dxa"/>
            <w:textDirection w:val="lrTb"/>
            <w:noWrap w:val="false"/>
          </w:tcPr>
          <w:p>
            <w:pPr>
              <w:pStyle w:val="754"/>
              <w:jc w:val="center"/>
              <w:rPr>
                <w:rStyle w:val="765"/>
                <w:rFonts w:ascii="Times New Roman" w:hAnsi="Times New Roman" w:eastAsiaTheme="majorEastAsia"/>
                <w:b/>
                <w:bCs/>
                <w:color w:val="000000"/>
                <w:sz w:val="24"/>
                <w:szCs w:val="24"/>
                <w:shd w:val="clear" w:color="auto" w:fill="ffffff"/>
              </w:rPr>
            </w:pPr>
            <w:r>
              <w:rPr>
                <w:rStyle w:val="765"/>
                <w:rFonts w:ascii="Times New Roman" w:hAnsi="Times New Roman" w:eastAsiaTheme="majorEastAsia"/>
                <w:b/>
                <w:bCs/>
                <w:color w:val="000000"/>
                <w:sz w:val="24"/>
                <w:szCs w:val="24"/>
                <w:shd w:val="clear" w:color="auto" w:fill="ffffff"/>
              </w:rPr>
              <w:t xml:space="preserve">Холодильник</w:t>
            </w:r>
            <w:r/>
          </w:p>
        </w:tc>
        <w:tc>
          <w:tcPr>
            <w:shd w:val="clear" w:color="auto" w:fill="auto"/>
            <w:tcW w:w="1241" w:type="dxa"/>
            <w:vAlign w:val="center"/>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шт.</w:t>
            </w:r>
            <w:r/>
          </w:p>
        </w:tc>
        <w:tc>
          <w:tcPr>
            <w:shd w:val="clear" w:color="auto" w:fill="auto"/>
            <w:tcW w:w="1177"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2</w:t>
            </w:r>
            <w:r/>
          </w:p>
        </w:tc>
      </w:tr>
      <w:tr>
        <w:trPr>
          <w:trHeight w:val="1266"/>
        </w:trPr>
        <w:tc>
          <w:tcPr>
            <w:gridSpan w:val="4"/>
            <w:shd w:val="clear" w:color="auto" w:fill="auto"/>
            <w:tcW w:w="9634" w:type="dxa"/>
            <w:textDirection w:val="lrTb"/>
            <w:noWrap w:val="false"/>
          </w:tcPr>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загальний об’єм – не менше 330 л;</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система охолодження – </w:t>
            </w:r>
            <w:r>
              <w:rPr>
                <w:rFonts w:ascii="Times New Roman" w:hAnsi="Times New Roman" w:cs="Times New Roman"/>
                <w:bCs/>
                <w:sz w:val="24"/>
                <w:szCs w:val="24"/>
                <w:lang w:val="en-US"/>
              </w:rPr>
              <w:t xml:space="preserve">NoFrost</w:t>
            </w:r>
            <w:r>
              <w:rPr>
                <w:rFonts w:ascii="Times New Roman" w:hAnsi="Times New Roman" w:cs="Times New Roman"/>
                <w:bCs/>
                <w:sz w:val="24"/>
                <w:szCs w:val="24"/>
              </w:rPr>
              <w:t xml:space="preserve"> або аналогічна;</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рівень шуму – не більше 45 </w:t>
            </w:r>
            <w:r>
              <w:rPr>
                <w:rFonts w:ascii="Times New Roman" w:hAnsi="Times New Roman" w:cs="Times New Roman"/>
                <w:bCs/>
                <w:sz w:val="24"/>
                <w:szCs w:val="24"/>
              </w:rPr>
              <w:t xml:space="preserve">дБ</w:t>
            </w:r>
            <w:r>
              <w:rPr>
                <w:rFonts w:ascii="Times New Roman" w:hAnsi="Times New Roman" w:cs="Times New Roman"/>
                <w:bCs/>
                <w:sz w:val="24"/>
                <w:szCs w:val="24"/>
              </w:rPr>
              <w:t xml:space="preserve">;</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тип холодильнику – двокамерний;</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розташування морозильної камери – нижнє;</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керування – електронне;</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клас енергоспоживання – не нижче А ++;</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колір – нержавіюча сталь, чорний, сірий або подібний (на вибір)</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особливості  - сигнал відкритих дверей, </w:t>
            </w:r>
            <w:r>
              <w:rPr>
                <w:rFonts w:ascii="Times New Roman" w:hAnsi="Times New Roman" w:cs="Times New Roman"/>
                <w:bCs/>
                <w:sz w:val="24"/>
                <w:szCs w:val="24"/>
              </w:rPr>
              <w:t xml:space="preserve">суперохолодження</w:t>
            </w:r>
            <w:r>
              <w:rPr>
                <w:rFonts w:ascii="Times New Roman" w:hAnsi="Times New Roman" w:cs="Times New Roman"/>
                <w:bCs/>
                <w:sz w:val="24"/>
                <w:szCs w:val="24"/>
              </w:rPr>
              <w:t xml:space="preserve">, перевішування дверей;</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тип ручок – приховані;</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об’єм холодильної камери – не менше 230 л;</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об’єм морозильної камери – не менше 100л;</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потужність заморожування  - не менше 10 кг/на добу;</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розморожування холодильного відділення – автоматичне;</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зона свіжості – є;</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кількість компресорів – не менше 1;</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дисплей – є;</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матеріал полиць – загартоване скло;</w:t>
            </w:r>
            <w:r/>
          </w:p>
          <w:p>
            <w:pPr>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кількість полиць/контейнерів – не менше 3;</w:t>
            </w:r>
            <w: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bCs/>
                <w:sz w:val="24"/>
                <w:szCs w:val="24"/>
              </w:rPr>
              <w:t xml:space="preserve">габарити – глибина 67,8 см. ± 5 см; ширина 59,6 см. ± 5 см; висота 191,2 см. ± 10 см</w:t>
            </w:r>
            <w:r/>
          </w:p>
        </w:tc>
      </w:tr>
    </w:tbl>
    <w:p>
      <w:pPr>
        <w:ind w:firstLine="567"/>
        <w:jc w:val="both"/>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w:t>
      </w:r>
      <w:r>
        <w:rPr>
          <w:rFonts w:ascii="Times New Roman" w:hAnsi="Times New Roman" w:eastAsia="Times New Roman" w:cs="Times New Roman"/>
          <w:sz w:val="24"/>
          <w:szCs w:val="24"/>
          <w:lang w:eastAsia="ru-RU"/>
        </w:rPr>
        <w:t xml:space="preserve">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74 901</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сімдесят чотири тисячі дев’ятсот одна гривня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2024-08-05T10:24:18Z</dcterms:modified>
</cp:coreProperties>
</file>