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АРМ №1 у комплекті за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009762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АРМ №1 у комплекті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1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АРМ №1 у </w:t>
            </w:r>
            <w:r>
              <w:rPr>
                <w:b/>
                <w:bCs/>
                <w:lang w:val="ru-RU"/>
              </w:rPr>
              <w:t xml:space="preserve">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/>
          </w:p>
        </w:tc>
      </w:tr>
    </w:tbl>
    <w:p>
      <w:pPr>
        <w:pStyle w:val="70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0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pStyle w:val="724"/>
        <w:ind w:left="0"/>
        <w:jc w:val="center"/>
        <w:spacing w:line="240" w:lineRule="auto"/>
        <w:tabs>
          <w:tab w:val="left" w:pos="993" w:leader="none"/>
        </w:tabs>
      </w:pPr>
      <w:r>
        <w:rPr>
          <w:b/>
          <w:bCs/>
        </w:rPr>
        <w:t xml:space="preserve">Вимоги на підтвердження відповідності пропозиції Учасника технічним, якісним, кількісним та іншим вимогам до предмета закупівлі:</w:t>
      </w:r>
      <w:r/>
    </w:p>
    <w:p>
      <w:pPr>
        <w:pStyle w:val="724"/>
        <w:numPr>
          <w:ilvl w:val="0"/>
          <w:numId w:val="23"/>
        </w:numPr>
        <w:ind w:left="0" w:firstLine="709"/>
        <w:spacing w:line="240" w:lineRule="auto"/>
        <w:tabs>
          <w:tab w:val="left" w:pos="993" w:leader="none"/>
        </w:tabs>
      </w:pPr>
      <w:r>
        <w:t xml:space="preserve">Товар повинен бути новим та не відновленим, таким що не використовувався раніше. </w:t>
      </w:r>
      <w:r>
        <w:rPr>
          <w:b/>
          <w:i/>
        </w:rPr>
        <w:t xml:space="preserve">(Надати учасником гарантійний лист)</w:t>
      </w:r>
      <w:r>
        <w:rPr>
          <w:color w:val="000000"/>
        </w:rPr>
        <w:t xml:space="preserve">.</w:t>
      </w:r>
      <w:r/>
    </w:p>
    <w:p>
      <w:pPr>
        <w:pStyle w:val="697"/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до складу АРМу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автоматизоване робоче місце/персональний комп’ютер</w:t>
      </w:r>
      <w:r>
        <w:rPr>
          <w:rFonts w:ascii="Times New Roman" w:hAnsi="Times New Roman" w:cs="Times New Roman"/>
          <w:sz w:val="24"/>
          <w:szCs w:val="24"/>
        </w:rPr>
        <w:t xml:space="preserve">),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відсутності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дистриб’ютора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має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підписаний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особою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імпортера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Україні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містити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посилання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процедуру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 номер і дату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оприлюднення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оголошення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веб-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порталі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Уповноваженого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органу)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товару. У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(-</w:t>
      </w:r>
      <w:r>
        <w:rPr>
          <w:rFonts w:ascii="Times New Roman" w:hAnsi="Times New Roman" w:cs="Times New Roman"/>
          <w:bCs/>
          <w:sz w:val="24"/>
          <w:szCs w:val="24"/>
        </w:rPr>
        <w:t xml:space="preserve">ів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pStyle w:val="697"/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АРМу,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Декларації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7"/>
        <w:numPr>
          <w:ilvl w:val="0"/>
          <w:numId w:val="25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з </w:t>
      </w:r>
      <w:r>
        <w:rPr>
          <w:rFonts w:ascii="Times New Roman" w:hAnsi="Times New Roman" w:cs="Times New Roman"/>
          <w:sz w:val="24"/>
          <w:szCs w:val="24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1077;</w:t>
      </w:r>
      <w:r/>
    </w:p>
    <w:p>
      <w:pPr>
        <w:pStyle w:val="697"/>
        <w:numPr>
          <w:ilvl w:val="0"/>
          <w:numId w:val="25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N 1067.</w:t>
      </w:r>
      <w:r/>
    </w:p>
    <w:p>
      <w:pPr>
        <w:pStyle w:val="697"/>
        <w:numPr>
          <w:ilvl w:val="0"/>
          <w:numId w:val="25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радіообладнання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24 </w:t>
      </w:r>
      <w:r>
        <w:rPr>
          <w:rFonts w:ascii="Times New Roman" w:hAnsi="Times New Roman" w:cs="Times New Roman"/>
          <w:sz w:val="24"/>
          <w:szCs w:val="24"/>
        </w:rPr>
        <w:t xml:space="preserve">травня</w:t>
      </w:r>
      <w:r>
        <w:rPr>
          <w:rFonts w:ascii="Times New Roman" w:hAnsi="Times New Roman" w:cs="Times New Roman"/>
          <w:sz w:val="24"/>
          <w:szCs w:val="24"/>
        </w:rPr>
        <w:t xml:space="preserve"> 2017 р. N 355.</w:t>
      </w:r>
      <w:r/>
    </w:p>
    <w:p>
      <w:pPr>
        <w:pStyle w:val="697"/>
        <w:numPr>
          <w:ilvl w:val="0"/>
          <w:numId w:val="25"/>
        </w:numPr>
        <w:ind w:left="0" w:firstLine="567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регламент </w:t>
      </w:r>
      <w:r>
        <w:rPr>
          <w:rFonts w:ascii="Times New Roman" w:hAnsi="Times New Roman" w:cs="Times New Roman"/>
          <w:sz w:val="24"/>
          <w:szCs w:val="24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10.03.2017),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персональних</w:t>
      </w:r>
      <w:r>
        <w:rPr>
          <w:rFonts w:ascii="Times New Roman" w:hAnsi="Times New Roman" w:cs="Times New Roman"/>
          <w:sz w:val="24"/>
          <w:szCs w:val="24"/>
        </w:rPr>
        <w:t xml:space="preserve"> комп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</w:t>
      </w:r>
      <w:r>
        <w:rPr>
          <w:rFonts w:ascii="Times New Roman" w:hAnsi="Times New Roman" w:cs="Times New Roman"/>
          <w:sz w:val="24"/>
          <w:szCs w:val="24"/>
        </w:rPr>
        <w:t xml:space="preserve">ютерів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7"/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наступних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сертифікатів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697"/>
        <w:numPr>
          <w:ilvl w:val="0"/>
          <w:numId w:val="25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</w:rPr>
        <w:t xml:space="preserve"> ДСТУ ISO 9001:2018; </w:t>
      </w:r>
      <w:r/>
    </w:p>
    <w:p>
      <w:pPr>
        <w:pStyle w:val="697"/>
        <w:numPr>
          <w:ilvl w:val="0"/>
          <w:numId w:val="25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керування</w:t>
      </w:r>
      <w:r>
        <w:rPr>
          <w:rFonts w:ascii="Times New Roman" w:hAnsi="Times New Roman" w:cs="Times New Roman"/>
          <w:sz w:val="24"/>
          <w:szCs w:val="24"/>
        </w:rPr>
        <w:t xml:space="preserve"> ДСТУ ISO 14001:2015; </w:t>
      </w:r>
      <w:r/>
    </w:p>
    <w:p>
      <w:pPr>
        <w:pStyle w:val="697"/>
        <w:numPr>
          <w:ilvl w:val="0"/>
          <w:numId w:val="25"/>
        </w:numPr>
        <w:jc w:val="both"/>
        <w:spacing w:after="0" w:line="240" w:lineRule="auto"/>
        <w:widowControl w:val="off"/>
        <w:tabs>
          <w:tab w:val="left" w:pos="1429" w:leader="none"/>
          <w:tab w:val="left" w:pos="171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</w:rPr>
        <w:t xml:space="preserve">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здоров'я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праці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Вимоги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настанови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застосовування</w:t>
      </w:r>
      <w:r>
        <w:rPr>
          <w:rFonts w:ascii="Times New Roman" w:hAnsi="Times New Roman" w:cs="Times New Roman"/>
          <w:sz w:val="24"/>
          <w:szCs w:val="24"/>
        </w:rPr>
        <w:t xml:space="preserve"> ISO 45001:2018.</w:t>
      </w:r>
      <w:r/>
    </w:p>
    <w:p>
      <w:pPr>
        <w:pStyle w:val="697"/>
        <w:numPr>
          <w:ilvl w:val="0"/>
          <w:numId w:val="24"/>
        </w:numPr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номерів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до складу покупця Товару, навантаження та розвантаження Товару на склад Замовника здійснюється Переможцем за його власний рахунок.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99"/>
        <w:tblW w:w="9970" w:type="dxa"/>
        <w:tblLook w:val="04A0" w:firstRow="1" w:lastRow="0" w:firstColumn="1" w:lastColumn="0" w:noHBand="0" w:noVBand="1"/>
      </w:tblPr>
      <w:tblGrid>
        <w:gridCol w:w="560"/>
        <w:gridCol w:w="3263"/>
        <w:gridCol w:w="1984"/>
        <w:gridCol w:w="3827"/>
        <w:gridCol w:w="336"/>
      </w:tblGrid>
      <w:tr>
        <w:trPr>
          <w:gridAfter w:val="1"/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 закупівлі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Технічні характеристики предмету закупівлі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К-сть</w:t>
            </w:r>
            <w:r/>
          </w:p>
        </w:tc>
      </w:tr>
      <w:tr>
        <w:trPr>
          <w:trHeight w:val="1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АРМ №1 у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18 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2,50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4,40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комплекті з системою охолодження достатньої потужності для ефективного відведення тепла від процесора та забезпечення його роботи на максимальних частотах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500GB,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з'ємний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встановлений у кишеню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Інтегрований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Graphics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8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DP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HDMI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 портів USB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x4, 1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TPM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- 1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(802.11ac)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550 Вт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Bronze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120 мм, наявність тримача кабелю живлення, що запобігає його випаданню з роз'єму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нижній частині корпусу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7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Windows®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9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 від виробника персонального комп'ютера;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104, з окремим блоком для набору цифр;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дротовий;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Інтерфейс комунікації з ПК: USB.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23.8”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IPS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1920 x 1080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HD)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250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1000:1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Частота оновлення: Не гірше ніж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5 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1x HDMI, 1x DP.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VESA кріплення,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стереодинаміки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37 426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двадцять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6"/>
  </w:num>
  <w:num w:numId="5">
    <w:abstractNumId w:val="5"/>
  </w:num>
  <w:num w:numId="6">
    <w:abstractNumId w:val="19"/>
  </w:num>
  <w:num w:numId="7">
    <w:abstractNumId w:val="8"/>
  </w:num>
  <w:num w:numId="8">
    <w:abstractNumId w:val="21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0"/>
  </w:num>
  <w:num w:numId="18">
    <w:abstractNumId w:val="22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2"/>
    <w:next w:val="69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4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4"/>
    <w:link w:val="693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2"/>
    <w:next w:val="69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2"/>
    <w:next w:val="69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2"/>
    <w:next w:val="69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2"/>
    <w:next w:val="69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2"/>
    <w:next w:val="69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2"/>
    <w:next w:val="69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2"/>
    <w:next w:val="69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2"/>
    <w:next w:val="69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4"/>
    <w:link w:val="33"/>
    <w:uiPriority w:val="10"/>
    <w:rPr>
      <w:sz w:val="48"/>
      <w:szCs w:val="48"/>
    </w:rPr>
  </w:style>
  <w:style w:type="paragraph" w:styleId="35">
    <w:name w:val="Subtitle"/>
    <w:basedOn w:val="692"/>
    <w:next w:val="69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4"/>
    <w:link w:val="35"/>
    <w:uiPriority w:val="11"/>
    <w:rPr>
      <w:sz w:val="24"/>
      <w:szCs w:val="24"/>
    </w:rPr>
  </w:style>
  <w:style w:type="paragraph" w:styleId="37">
    <w:name w:val="Quote"/>
    <w:basedOn w:val="692"/>
    <w:next w:val="69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2"/>
    <w:next w:val="69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4"/>
    <w:link w:val="41"/>
    <w:uiPriority w:val="99"/>
  </w:style>
  <w:style w:type="character" w:styleId="44">
    <w:name w:val="Footer Char"/>
    <w:basedOn w:val="694"/>
    <w:link w:val="703"/>
    <w:uiPriority w:val="99"/>
  </w:style>
  <w:style w:type="paragraph" w:styleId="4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3"/>
    <w:uiPriority w:val="99"/>
  </w:style>
  <w:style w:type="table" w:styleId="48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4"/>
    <w:uiPriority w:val="99"/>
    <w:unhideWhenUsed/>
    <w:rPr>
      <w:vertAlign w:val="superscript"/>
    </w:rPr>
  </w:style>
  <w:style w:type="paragraph" w:styleId="177">
    <w:name w:val="endnote text"/>
    <w:basedOn w:val="69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4"/>
    <w:uiPriority w:val="99"/>
    <w:semiHidden/>
    <w:unhideWhenUsed/>
    <w:rPr>
      <w:vertAlign w:val="superscript"/>
    </w:rPr>
  </w:style>
  <w:style w:type="paragraph" w:styleId="180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  <w:rPr>
      <w:lang w:val="uk-UA"/>
    </w:rPr>
  </w:style>
  <w:style w:type="paragraph" w:styleId="693">
    <w:name w:val="Heading 2"/>
    <w:basedOn w:val="692"/>
    <w:link w:val="71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>
    <w:name w:val="List Paragraph"/>
    <w:basedOn w:val="692"/>
    <w:link w:val="698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8" w:customStyle="1">
    <w:name w:val="Абзац списку Знак"/>
    <w:link w:val="697"/>
    <w:rPr>
      <w:rFonts w:ascii="Calibri" w:hAnsi="Calibri" w:eastAsia="Calibri" w:cs="Calibri"/>
      <w:lang w:eastAsia="zh-CN"/>
    </w:rPr>
  </w:style>
  <w:style w:type="table" w:styleId="699">
    <w:name w:val="Table Grid"/>
    <w:basedOn w:val="6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Сетка таблицы2"/>
    <w:basedOn w:val="695"/>
    <w:next w:val="69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Normal (Web)"/>
    <w:basedOn w:val="692"/>
    <w:link w:val="708"/>
    <w:unhideWhenUsed/>
    <w:qFormat/>
    <w:rPr>
      <w:rFonts w:ascii="Times New Roman" w:hAnsi="Times New Roman" w:cs="Times New Roman"/>
      <w:sz w:val="24"/>
      <w:szCs w:val="24"/>
    </w:rPr>
  </w:style>
  <w:style w:type="table" w:styleId="702" w:customStyle="1">
    <w:name w:val="Сетка таблицы1"/>
    <w:basedOn w:val="695"/>
    <w:next w:val="69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Footer"/>
    <w:basedOn w:val="692"/>
    <w:link w:val="70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4" w:customStyle="1">
    <w:name w:val="Нижній колонтитул Знак"/>
    <w:basedOn w:val="694"/>
    <w:link w:val="703"/>
    <w:uiPriority w:val="99"/>
    <w:rPr>
      <w:rFonts w:ascii="Calibri" w:hAnsi="Calibri" w:eastAsia="Calibri" w:cs="Calibri"/>
      <w:lang w:eastAsia="zh-CN"/>
    </w:rPr>
  </w:style>
  <w:style w:type="paragraph" w:styleId="70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6">
    <w:name w:val="Hyperlink"/>
    <w:basedOn w:val="694"/>
    <w:uiPriority w:val="99"/>
    <w:unhideWhenUsed/>
    <w:rPr>
      <w:color w:val="0563c1" w:themeColor="hyperlink"/>
      <w:u w:val="single"/>
    </w:rPr>
  </w:style>
  <w:style w:type="character" w:styleId="707" w:customStyle="1">
    <w:name w:val="xfm_93972720"/>
    <w:basedOn w:val="694"/>
  </w:style>
  <w:style w:type="character" w:styleId="708" w:customStyle="1">
    <w:name w:val="Звичайний (веб) Знак"/>
    <w:link w:val="701"/>
    <w:qFormat/>
    <w:rPr>
      <w:rFonts w:ascii="Times New Roman" w:hAnsi="Times New Roman" w:cs="Times New Roman"/>
      <w:sz w:val="24"/>
      <w:szCs w:val="24"/>
      <w:lang w:val="uk-UA"/>
    </w:rPr>
  </w:style>
  <w:style w:type="paragraph" w:styleId="709">
    <w:name w:val="Body Text 2"/>
    <w:basedOn w:val="692"/>
    <w:link w:val="71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0" w:customStyle="1">
    <w:name w:val="Основний текст 2 Знак"/>
    <w:basedOn w:val="694"/>
    <w:link w:val="70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2" w:customStyle="1">
    <w:name w:val="Заголовок 2 Знак"/>
    <w:basedOn w:val="694"/>
    <w:link w:val="69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3">
    <w:name w:val="No Spacing"/>
    <w:link w:val="71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4" w:customStyle="1">
    <w:name w:val="Без інтервалів Знак"/>
    <w:basedOn w:val="694"/>
    <w:link w:val="713"/>
    <w:uiPriority w:val="1"/>
    <w:rPr>
      <w:rFonts w:ascii="Calibri" w:hAnsi="Calibri" w:eastAsia="Calibri" w:cs="Times New Roman"/>
      <w:lang w:val="uk-UA"/>
    </w:rPr>
  </w:style>
  <w:style w:type="character" w:styleId="715" w:customStyle="1">
    <w:name w:val="Другое_"/>
    <w:basedOn w:val="694"/>
    <w:link w:val="716"/>
    <w:rPr>
      <w:rFonts w:ascii="Calibri" w:hAnsi="Calibri" w:eastAsia="Calibri" w:cs="Calibri"/>
      <w:sz w:val="20"/>
      <w:szCs w:val="20"/>
    </w:rPr>
  </w:style>
  <w:style w:type="paragraph" w:styleId="716" w:customStyle="1">
    <w:name w:val="Другое"/>
    <w:basedOn w:val="692"/>
    <w:link w:val="715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8" w:customStyle="1">
    <w:name w:val="Основной текст (2)_"/>
    <w:basedOn w:val="694"/>
    <w:link w:val="719"/>
    <w:rPr>
      <w:rFonts w:eastAsia="Times New Roman" w:cs="Times New Roman"/>
      <w:shd w:val="clear" w:color="auto" w:fill="ffffff"/>
    </w:rPr>
  </w:style>
  <w:style w:type="paragraph" w:styleId="719" w:customStyle="1">
    <w:name w:val="Основной текст (2)"/>
    <w:basedOn w:val="692"/>
    <w:link w:val="71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0" w:customStyle="1">
    <w:name w:val="Текст у виносці Знак"/>
    <w:basedOn w:val="694"/>
    <w:link w:val="72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1">
    <w:name w:val="Balloon Text"/>
    <w:basedOn w:val="692"/>
    <w:link w:val="720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2" w:customStyle="1">
    <w:name w:val="Текст у виносці Знак1"/>
    <w:basedOn w:val="694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3" w:customStyle="1">
    <w:name w:val="T23"/>
    <w:rPr>
      <w:rFonts w:hint="default" w:ascii="Times New Roman" w:hAnsi="Times New Roman" w:eastAsia="Times New Roman1" w:cs="Times New Roman"/>
    </w:rPr>
  </w:style>
  <w:style w:type="paragraph" w:styleId="724" w:customStyle="1">
    <w:name w:val="Абзац списку1"/>
    <w:basedOn w:val="692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2023-10-06T13:56:07Z</dcterms:modified>
</cp:coreProperties>
</file>