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31"/>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Послуги із розроблення комплекту </w:t>
      </w:r>
      <w:r>
        <w:rPr>
          <w:b w:val="0"/>
          <w:bCs w:val="0"/>
          <w:sz w:val="24"/>
          <w:szCs w:val="24"/>
        </w:rPr>
        <w:t xml:space="preserve">проєктної</w:t>
      </w:r>
      <w:r>
        <w:rPr>
          <w:b w:val="0"/>
          <w:bCs w:val="0"/>
          <w:sz w:val="24"/>
          <w:szCs w:val="24"/>
        </w:rPr>
        <w:t xml:space="preserve"> документації </w:t>
      </w:r>
      <w:r>
        <w:rPr>
          <w:b w:val="0"/>
          <w:bCs w:val="0"/>
          <w:sz w:val="24"/>
          <w:szCs w:val="24"/>
        </w:rPr>
        <w:t xml:space="preserve">техноробочого</w:t>
      </w:r>
      <w:r>
        <w:rPr>
          <w:b w:val="0"/>
          <w:bCs w:val="0"/>
          <w:sz w:val="24"/>
          <w:szCs w:val="24"/>
        </w:rPr>
        <w:t xml:space="preserve"> </w:t>
      </w:r>
      <w:r>
        <w:rPr>
          <w:b w:val="0"/>
          <w:bCs w:val="0"/>
          <w:sz w:val="24"/>
          <w:szCs w:val="24"/>
        </w:rPr>
        <w:t xml:space="preserve">проєкту</w:t>
      </w:r>
      <w:r>
        <w:rPr>
          <w:b w:val="0"/>
          <w:bCs w:val="0"/>
          <w:sz w:val="24"/>
          <w:szCs w:val="24"/>
        </w:rPr>
        <w:t xml:space="preserve"> «Інформаційно-комунікаційна система 112» за кодом CPV за ЄЗС ДК 021:2015: 72220000-3 Консультаційні послуги з питань систем та з технічних питань</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2953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Послуги із розроблення комплекту </w:t>
      </w:r>
      <w:r>
        <w:rPr>
          <w:rFonts w:ascii="Times New Roman" w:hAnsi="Times New Roman" w:cs="Times New Roman"/>
          <w:bCs/>
          <w:sz w:val="24"/>
          <w:szCs w:val="24"/>
        </w:rPr>
        <w:t xml:space="preserve">проєктної</w:t>
      </w:r>
      <w:r>
        <w:rPr>
          <w:rFonts w:ascii="Times New Roman" w:hAnsi="Times New Roman" w:cs="Times New Roman"/>
          <w:bCs/>
          <w:sz w:val="24"/>
          <w:szCs w:val="24"/>
        </w:rPr>
        <w:t xml:space="preserve"> документації </w:t>
      </w:r>
      <w:r>
        <w:rPr>
          <w:rFonts w:ascii="Times New Roman" w:hAnsi="Times New Roman" w:cs="Times New Roman"/>
          <w:bCs/>
          <w:sz w:val="24"/>
          <w:szCs w:val="24"/>
        </w:rPr>
        <w:t xml:space="preserve">техноробочого</w:t>
      </w:r>
      <w:r>
        <w:rPr>
          <w:rFonts w:ascii="Times New Roman" w:hAnsi="Times New Roman" w:cs="Times New Roman"/>
          <w:bCs/>
          <w:sz w:val="24"/>
          <w:szCs w:val="24"/>
        </w:rPr>
        <w:t xml:space="preserve"> </w:t>
      </w:r>
      <w:r>
        <w:rPr>
          <w:rFonts w:ascii="Times New Roman" w:hAnsi="Times New Roman" w:cs="Times New Roman"/>
          <w:bCs/>
          <w:sz w:val="24"/>
          <w:szCs w:val="24"/>
        </w:rPr>
        <w:t xml:space="preserve">проєкту</w:t>
      </w:r>
      <w:r>
        <w:rPr>
          <w:rFonts w:ascii="Times New Roman" w:hAnsi="Times New Roman" w:cs="Times New Roman"/>
          <w:bCs/>
          <w:sz w:val="24"/>
          <w:szCs w:val="24"/>
        </w:rPr>
        <w:t xml:space="preserve"> «Інформаційно-комунікаційна система 112» за кодом CPV за ЄЗС ДК 021:2015: 72220000-3 Консультаційні послуги з питань систем та з технічних питань</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40"/>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42"/>
              <w:jc w:val="center"/>
              <w:rPr>
                <w:b/>
                <w:bCs/>
              </w:rPr>
            </w:pPr>
            <w:r>
              <w:rPr>
                <w:b/>
                <w:bCs/>
              </w:rPr>
              <w:t xml:space="preserve">№ п/п</w:t>
            </w:r>
            <w:r/>
          </w:p>
        </w:tc>
        <w:tc>
          <w:tcPr>
            <w:tcW w:w="5670" w:type="dxa"/>
            <w:textDirection w:val="lrTb"/>
            <w:noWrap w:val="false"/>
          </w:tcPr>
          <w:p>
            <w:pPr>
              <w:pStyle w:val="742"/>
              <w:jc w:val="center"/>
              <w:rPr>
                <w:b/>
                <w:bCs/>
              </w:rPr>
            </w:pPr>
            <w:r>
              <w:rPr>
                <w:b/>
                <w:bCs/>
              </w:rPr>
              <w:t xml:space="preserve">Назва системи</w:t>
            </w:r>
            <w:r/>
          </w:p>
        </w:tc>
        <w:tc>
          <w:tcPr>
            <w:tcW w:w="1701" w:type="dxa"/>
            <w:textDirection w:val="lrTb"/>
            <w:noWrap w:val="false"/>
          </w:tcPr>
          <w:p>
            <w:pPr>
              <w:pStyle w:val="742"/>
              <w:jc w:val="center"/>
              <w:rPr>
                <w:b/>
                <w:bCs/>
              </w:rPr>
            </w:pPr>
            <w:r>
              <w:rPr>
                <w:b/>
                <w:bCs/>
              </w:rPr>
              <w:t xml:space="preserve">Одиниця виміру</w:t>
            </w:r>
            <w:r/>
          </w:p>
        </w:tc>
        <w:tc>
          <w:tcPr>
            <w:tcW w:w="1701" w:type="dxa"/>
            <w:textDirection w:val="lrTb"/>
            <w:noWrap w:val="false"/>
          </w:tcPr>
          <w:p>
            <w:pPr>
              <w:pStyle w:val="742"/>
              <w:jc w:val="center"/>
              <w:rPr>
                <w:b/>
                <w:bCs/>
              </w:rPr>
            </w:pPr>
            <w:r>
              <w:rPr>
                <w:b/>
                <w:bCs/>
              </w:rPr>
              <w:t xml:space="preserve">Кількість</w:t>
            </w:r>
            <w:r/>
          </w:p>
        </w:tc>
      </w:tr>
      <w:tr>
        <w:trPr/>
        <w:tc>
          <w:tcPr>
            <w:tcW w:w="562" w:type="dxa"/>
            <w:vAlign w:val="center"/>
            <w:textDirection w:val="lrTb"/>
            <w:noWrap w:val="false"/>
          </w:tcPr>
          <w:p>
            <w:pPr>
              <w:pStyle w:val="742"/>
              <w:jc w:val="center"/>
            </w:pPr>
            <w:r>
              <w:rPr>
                <w:b/>
                <w:bCs/>
              </w:rPr>
              <w:t xml:space="preserve">1</w:t>
            </w:r>
            <w:r/>
          </w:p>
        </w:tc>
        <w:tc>
          <w:tcPr>
            <w:tcW w:w="5670" w:type="dxa"/>
            <w:textDirection w:val="lrTb"/>
            <w:noWrap w:val="false"/>
          </w:tcPr>
          <w:p>
            <w:pPr>
              <w:pStyle w:val="742"/>
              <w:rPr>
                <w:b/>
                <w:bCs/>
              </w:rPr>
            </w:pPr>
            <w:r>
              <w:rPr>
                <w:b/>
                <w:bCs/>
              </w:rPr>
              <w:t xml:space="preserve">Розроблення комплекту </w:t>
            </w:r>
            <w:r>
              <w:rPr>
                <w:b/>
                <w:bCs/>
              </w:rPr>
              <w:t xml:space="preserve">проєктної</w:t>
            </w:r>
            <w:r>
              <w:rPr>
                <w:b/>
                <w:bCs/>
              </w:rPr>
              <w:t xml:space="preserve"> документації </w:t>
            </w:r>
            <w:r>
              <w:rPr>
                <w:b/>
                <w:bCs/>
              </w:rPr>
              <w:t xml:space="preserve">техноробочого</w:t>
            </w:r>
            <w:r>
              <w:rPr>
                <w:b/>
                <w:bCs/>
              </w:rPr>
              <w:t xml:space="preserve"> </w:t>
            </w:r>
            <w:r>
              <w:rPr>
                <w:b/>
                <w:bCs/>
              </w:rPr>
              <w:t xml:space="preserve">проєкту</w:t>
            </w:r>
            <w:r>
              <w:rPr>
                <w:b/>
                <w:bCs/>
              </w:rPr>
              <w:t xml:space="preserve"> «Інформаційно-комунікаційна система 112»</w:t>
            </w:r>
            <w:r/>
          </w:p>
        </w:tc>
        <w:tc>
          <w:tcPr>
            <w:tcW w:w="1701" w:type="dxa"/>
            <w:vAlign w:val="center"/>
            <w:textDirection w:val="lrTb"/>
            <w:noWrap w:val="false"/>
          </w:tcPr>
          <w:p>
            <w:pPr>
              <w:pStyle w:val="742"/>
              <w:jc w:val="center"/>
            </w:pPr>
            <w:r>
              <w:rPr>
                <w:b/>
                <w:bCs/>
              </w:rPr>
              <w:t xml:space="preserve">посл</w:t>
            </w:r>
            <w:r>
              <w:rPr>
                <w:b/>
                <w:bCs/>
              </w:rPr>
              <w:t xml:space="preserve">.</w:t>
            </w:r>
            <w:r/>
          </w:p>
        </w:tc>
        <w:tc>
          <w:tcPr>
            <w:tcW w:w="1701" w:type="dxa"/>
            <w:vAlign w:val="center"/>
            <w:textDirection w:val="lrTb"/>
            <w:noWrap w:val="false"/>
          </w:tcPr>
          <w:p>
            <w:pPr>
              <w:pStyle w:val="742"/>
              <w:jc w:val="center"/>
              <w:rPr>
                <w:b/>
                <w:bCs/>
              </w:rPr>
            </w:pPr>
            <w:r>
              <w:rPr>
                <w:b/>
                <w:bCs/>
              </w:rPr>
              <w:t xml:space="preserve">1</w:t>
            </w:r>
            <w:r/>
          </w:p>
        </w:tc>
      </w:tr>
    </w:tbl>
    <w:p>
      <w:pPr>
        <w:pStyle w:val="742"/>
        <w:jc w:val="both"/>
        <w:spacing w:after="0" w:line="240" w:lineRule="auto"/>
        <w:rPr>
          <w:b/>
          <w:bCs/>
          <w:i/>
          <w:iCs/>
          <w:lang w:eastAsia="ru-RU"/>
        </w:rPr>
      </w:pPr>
      <w:r>
        <w:rPr>
          <w:b/>
          <w:bCs/>
          <w:i/>
          <w:iCs/>
          <w:lang w:eastAsia="ru-RU"/>
        </w:rPr>
      </w:r>
      <w:r/>
    </w:p>
    <w:p>
      <w:pPr>
        <w:pStyle w:val="742"/>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r>
      <w:r/>
    </w:p>
    <w:p>
      <w:pPr>
        <w:ind w:firstLine="56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І. Загальні положення</w:t>
      </w:r>
      <w:r/>
    </w:p>
    <w:p>
      <w:pPr>
        <w:numPr>
          <w:ilvl w:val="1"/>
          <w:numId w:val="42"/>
        </w:numPr>
        <w:contextualSpacing/>
        <w:ind w:left="0" w:firstLine="567"/>
        <w:jc w:val="center"/>
        <w:spacing w:before="120"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Мета</w:t>
      </w:r>
      <w:r/>
    </w:p>
    <w:p>
      <w:pPr>
        <w:ind w:right="-1" w:firstLine="567"/>
        <w:jc w:val="both"/>
        <w:spacing w:after="0" w:line="240" w:lineRule="auto"/>
        <w:rPr>
          <w:rFonts w:ascii="Times New Roman" w:hAnsi="Times New Roman" w:eastAsia="Calibri" w:cs="Times New Roman"/>
          <w:b/>
          <w:sz w:val="24"/>
          <w:szCs w:val="24"/>
        </w:rPr>
      </w:pPr>
      <w:r>
        <w:rPr>
          <w:rFonts w:ascii="Times New Roman" w:hAnsi="Times New Roman" w:eastAsia="Calibri" w:cs="Times New Roman"/>
          <w:bCs/>
          <w:sz w:val="24"/>
          <w:szCs w:val="24"/>
        </w:rPr>
        <w:t xml:space="preserve">З метою забезпечення</w:t>
      </w:r>
      <w:r>
        <w:rPr>
          <w:rFonts w:ascii="Times New Roman" w:hAnsi="Times New Roman" w:eastAsia="Calibri" w:cs="Times New Roman"/>
          <w:sz w:val="24"/>
          <w:szCs w:val="24"/>
        </w:rPr>
        <w:t xml:space="preserve"> впровадження та функціонування системи екстреної допомоги населенню за єдиним телефонним номером 112, відповідно до Закону України «Про систему екстреної</w:t>
      </w:r>
      <w:r>
        <w:rPr>
          <w:rFonts w:ascii="Times New Roman" w:hAnsi="Times New Roman" w:eastAsia="Calibri" w:cs="Times New Roman"/>
          <w:sz w:val="24"/>
          <w:szCs w:val="24"/>
        </w:rPr>
        <w:t xml:space="preserve"> допомоги населенню за єдиним телефонним номером 112», Плану заходів із створення системи екстреної допомоги населенню за єдиним телефонним номером 112, затвердженого розпорядженням Кабінету Міністрів України від 15 листопада 2022 р. № 1024-р, підпункту 17</w:t>
      </w:r>
      <w:r>
        <w:rPr>
          <w:rFonts w:ascii="Times New Roman" w:hAnsi="Times New Roman" w:eastAsia="Calibri" w:cs="Times New Roman"/>
          <w:sz w:val="24"/>
          <w:szCs w:val="24"/>
          <w:vertAlign w:val="superscript"/>
        </w:rPr>
        <w:t xml:space="preserve">1</w:t>
      </w:r>
      <w:r>
        <w:rPr>
          <w:rFonts w:ascii="Times New Roman" w:hAnsi="Times New Roman" w:eastAsia="Calibri" w:cs="Times New Roman"/>
          <w:sz w:val="24"/>
          <w:szCs w:val="24"/>
        </w:rPr>
        <w:t xml:space="preserve"> пункту 4 Положення про Міністерство внутрішніх справ України, </w:t>
      </w:r>
      <w:r>
        <w:rPr>
          <w:rFonts w:ascii="Times New Roman" w:hAnsi="Times New Roman" w:eastAsia="Calibri" w:cs="Times New Roman"/>
          <w:sz w:val="24"/>
          <w:szCs w:val="24"/>
        </w:rPr>
        <w:t xml:space="preserve">затвердженого постановою Кабінету Міністрів України від 28 жовтня 2015 року № 878</w:t>
      </w:r>
      <w:r>
        <w:rPr>
          <w:rFonts w:ascii="Times New Roman" w:hAnsi="Times New Roman" w:eastAsia="Calibri" w:cs="Times New Roman"/>
          <w:bCs/>
          <w:sz w:val="24"/>
          <w:szCs w:val="24"/>
        </w:rPr>
        <w:t xml:space="preserve">,</w:t>
      </w:r>
      <w:r>
        <w:rPr>
          <w:rFonts w:ascii="Times New Roman" w:hAnsi="Times New Roman" w:eastAsia="Calibri" w:cs="Times New Roman"/>
          <w:b/>
          <w:sz w:val="24"/>
          <w:szCs w:val="24"/>
        </w:rPr>
        <w:t xml:space="preserve"> </w:t>
      </w:r>
      <w:r>
        <w:rPr>
          <w:rFonts w:ascii="Times New Roman" w:hAnsi="Times New Roman" w:eastAsia="Calibri" w:cs="Times New Roman"/>
          <w:sz w:val="24"/>
          <w:szCs w:val="24"/>
        </w:rPr>
        <w:t xml:space="preserve">Положення про Державну установу «Центр інфраструктури та технологій Міністерства внутрішніх справ України», затвердженого наказом Міністерства внутрішніх справ України від 14.08.2012 № 702 (</w:t>
      </w:r>
      <w:r>
        <w:rPr>
          <w:rFonts w:ascii="Times New Roman" w:hAnsi="Times New Roman" w:cs="Times New Roman"/>
          <w:sz w:val="24"/>
          <w:szCs w:val="24"/>
          <w:lang w:eastAsia="uk-UA"/>
        </w:rPr>
        <w:t xml:space="preserve">у редакції наказу МВС від 03 жовтня 2023 року № 808</w:t>
      </w:r>
      <w:r>
        <w:rPr>
          <w:rFonts w:ascii="Times New Roman" w:hAnsi="Times New Roman" w:eastAsia="Calibri" w:cs="Times New Roman"/>
          <w:sz w:val="24"/>
          <w:szCs w:val="24"/>
        </w:rPr>
        <w:t xml:space="preserve">), </w:t>
      </w:r>
      <w:r>
        <w:rPr>
          <w:rFonts w:ascii="Times New Roman" w:hAnsi="Times New Roman" w:cs="Times New Roman"/>
          <w:sz w:val="24"/>
          <w:szCs w:val="24"/>
          <w:lang w:eastAsia="uk-UA"/>
        </w:rPr>
        <w:t xml:space="preserve">Положення про єдину інформаційну систему Міністерства внутрішніх справ, затвердженого постановою Кабінету Міністрів України від 14 </w:t>
      </w:r>
      <w:r>
        <w:rPr>
          <w:rFonts w:ascii="Times New Roman" w:hAnsi="Times New Roman" w:cs="Times New Roman"/>
          <w:sz w:val="24"/>
          <w:szCs w:val="24"/>
          <w:lang w:eastAsia="uk-UA"/>
        </w:rPr>
        <w:t xml:space="preserve">листопада 2018 року № 1024, Положення про інформаційно-комунікаційну систему 112, затвердженого наказом Міністерства внутрішніх справ України від 09 червня 2023 року № 473, зареєстрованого в Міністерстві юстиції України 14 червня 2023 року за № 988/40044, </w:t>
      </w:r>
      <w:bookmarkStart w:id="0" w:name="_Hlk150426220"/>
      <w:r>
        <w:rPr>
          <w:rFonts w:ascii="Times New Roman" w:hAnsi="Times New Roman" w:cs="Times New Roman"/>
          <w:sz w:val="24"/>
          <w:szCs w:val="24"/>
        </w:rPr>
        <w:t xml:space="preserve">Протоколу засідан</w:t>
      </w:r>
      <w:r>
        <w:rPr>
          <w:rFonts w:ascii="Times New Roman" w:hAnsi="Times New Roman" w:cs="Times New Roman"/>
          <w:sz w:val="24"/>
          <w:szCs w:val="24"/>
        </w:rPr>
        <w:t xml:space="preserve">ня Міжвідомчої робочої групи з питань створення, впровадження, забезпечення функціонування та розвитку системи екстреної допомоги населенню за єдиним телефонним номером 112 від 09 червня 2023 року, зареєстрованого за №109207/7/16-2023 від 12.06.2023 року, </w:t>
      </w:r>
      <w:r>
        <w:rPr>
          <w:rFonts w:ascii="Times New Roman" w:hAnsi="Times New Roman" w:cs="Times New Roman"/>
          <w:sz w:val="24"/>
          <w:szCs w:val="24"/>
          <w:lang w:eastAsia="uk-UA"/>
        </w:rPr>
        <w:t xml:space="preserve">Протоколу засідання Міжвідомчої</w:t>
      </w:r>
      <w:r>
        <w:rPr>
          <w:rFonts w:ascii="Times New Roman" w:hAnsi="Times New Roman" w:cs="Times New Roman"/>
          <w:sz w:val="24"/>
          <w:szCs w:val="24"/>
        </w:rPr>
        <w:t xml:space="preserve"> робочої групи з питань створення, впровадження, забезпечення функціонування та розвитку системи екстреної допомоги населенню за єдиним телефонним номером 112 </w:t>
      </w:r>
      <w:r>
        <w:rPr>
          <w:rFonts w:ascii="Times New Roman" w:hAnsi="Times New Roman" w:cs="Times New Roman"/>
          <w:sz w:val="24"/>
          <w:szCs w:val="24"/>
          <w:lang w:eastAsia="uk-UA"/>
        </w:rPr>
        <w:t xml:space="preserve">від 07 липня 2023 року, Протоколу засідання Міжвідомчої </w:t>
      </w:r>
      <w:r>
        <w:rPr>
          <w:rFonts w:ascii="Times New Roman" w:hAnsi="Times New Roman" w:cs="Times New Roman"/>
          <w:sz w:val="24"/>
          <w:szCs w:val="24"/>
        </w:rPr>
        <w:t xml:space="preserve"> робочої групи з питань створення, впровадження, забезпечення функціонування та розвитку системи екстреної допомоги населенню за єдиним телефонним номером 112 від</w:t>
      </w:r>
      <w:r>
        <w:rPr>
          <w:rFonts w:ascii="Times New Roman" w:hAnsi="Times New Roman" w:cs="Times New Roman"/>
          <w:sz w:val="24"/>
          <w:szCs w:val="24"/>
          <w:lang w:eastAsia="uk-UA"/>
        </w:rPr>
        <w:t xml:space="preserve"> 08 лютого 2024 року, зареєстрованого за №2094/07/16-2024 від 09.02.2024, виникає необхідність у</w:t>
      </w:r>
      <w:r>
        <w:rPr>
          <w:rFonts w:ascii="Times New Roman" w:hAnsi="Times New Roman" w:eastAsia="Calibri" w:cs="Times New Roman"/>
          <w:b/>
          <w:sz w:val="24"/>
          <w:szCs w:val="24"/>
        </w:rPr>
        <w:t xml:space="preserve"> розробленні комплекту </w:t>
      </w:r>
      <w:r>
        <w:rPr>
          <w:rFonts w:ascii="Times New Roman" w:hAnsi="Times New Roman" w:eastAsia="Calibri" w:cs="Times New Roman"/>
          <w:b/>
          <w:sz w:val="24"/>
          <w:szCs w:val="24"/>
        </w:rPr>
        <w:t xml:space="preserve">проєктної</w:t>
      </w:r>
      <w:r>
        <w:rPr>
          <w:rFonts w:ascii="Times New Roman" w:hAnsi="Times New Roman" w:eastAsia="Calibri" w:cs="Times New Roman"/>
          <w:b/>
          <w:sz w:val="24"/>
          <w:szCs w:val="24"/>
        </w:rPr>
        <w:t xml:space="preserve"> документації </w:t>
      </w:r>
      <w:r>
        <w:rPr>
          <w:rFonts w:ascii="Times New Roman" w:hAnsi="Times New Roman" w:eastAsia="Calibri" w:cs="Times New Roman"/>
          <w:b/>
          <w:sz w:val="24"/>
          <w:szCs w:val="24"/>
        </w:rPr>
        <w:t xml:space="preserve">техноробочого</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rPr>
        <w:t xml:space="preserve">проєкту</w:t>
      </w:r>
      <w:r>
        <w:rPr>
          <w:rFonts w:ascii="Times New Roman" w:hAnsi="Times New Roman" w:eastAsia="Calibri" w:cs="Times New Roman"/>
          <w:b/>
          <w:sz w:val="24"/>
          <w:szCs w:val="24"/>
        </w:rPr>
        <w:t xml:space="preserve"> «Інформаційно-комунікаційна система 112».</w:t>
      </w:r>
      <w:bookmarkEnd w:id="0"/>
      <w:r/>
    </w:p>
    <w:p>
      <w:pPr>
        <w:numPr>
          <w:ilvl w:val="1"/>
          <w:numId w:val="42"/>
        </w:numPr>
        <w:contextualSpacing/>
        <w:ind w:left="0" w:firstLine="73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Назва та склад предмету закупівлі</w:t>
      </w:r>
      <w:r/>
    </w:p>
    <w:p>
      <w:pPr>
        <w:ind w:firstLine="709"/>
        <w:jc w:val="both"/>
        <w:spacing w:after="0" w:line="240" w:lineRule="auto"/>
        <w:rPr>
          <w:rFonts w:ascii="Times New Roman" w:hAnsi="Times New Roman" w:cs="Times New Roman"/>
          <w:bCs/>
          <w:sz w:val="24"/>
          <w:szCs w:val="24"/>
        </w:rPr>
      </w:pPr>
      <w:r>
        <w:rPr>
          <w:rFonts w:ascii="Times New Roman" w:hAnsi="Times New Roman" w:eastAsia="Calibri" w:cs="Times New Roman"/>
          <w:sz w:val="24"/>
          <w:szCs w:val="24"/>
        </w:rPr>
        <w:t xml:space="preserve">Послуги із розроблення комплекту </w:t>
      </w:r>
      <w:r>
        <w:rPr>
          <w:rFonts w:ascii="Times New Roman" w:hAnsi="Times New Roman" w:eastAsia="Calibri" w:cs="Times New Roman"/>
          <w:sz w:val="24"/>
          <w:szCs w:val="24"/>
        </w:rPr>
        <w:t xml:space="preserve">проєктної</w:t>
      </w:r>
      <w:r>
        <w:rPr>
          <w:rFonts w:ascii="Times New Roman" w:hAnsi="Times New Roman" w:eastAsia="Calibri" w:cs="Times New Roman"/>
          <w:sz w:val="24"/>
          <w:szCs w:val="24"/>
        </w:rPr>
        <w:t xml:space="preserve"> документації </w:t>
      </w:r>
      <w:r>
        <w:rPr>
          <w:rFonts w:ascii="Times New Roman" w:hAnsi="Times New Roman" w:eastAsia="Calibri" w:cs="Times New Roman"/>
          <w:sz w:val="24"/>
          <w:szCs w:val="24"/>
        </w:rPr>
        <w:t xml:space="preserve">техноробочого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проєкту</w:t>
      </w:r>
      <w:r>
        <w:rPr>
          <w:rFonts w:ascii="Times New Roman" w:hAnsi="Times New Roman" w:eastAsia="Calibri" w:cs="Times New Roman"/>
          <w:sz w:val="24"/>
          <w:szCs w:val="24"/>
        </w:rPr>
        <w:t xml:space="preserve"> «Інформаційно-комунікаційна система 112».</w:t>
      </w:r>
      <w:r/>
    </w:p>
    <w:p>
      <w:pPr>
        <w:ind w:firstLine="709"/>
        <w:jc w:val="both"/>
        <w:spacing w:after="0" w:line="240" w:lineRule="auto"/>
        <w:shd w:val="clear" w:color="auto" w:fill="ffffff"/>
        <w:rPr>
          <w:rFonts w:ascii="Times New Roman" w:hAnsi="Times New Roman" w:cs="Times New Roman"/>
          <w:sz w:val="24"/>
          <w:szCs w:val="24"/>
        </w:rPr>
      </w:pPr>
      <w:r/>
      <w:bookmarkStart w:id="1" w:name="_Hlk165993255"/>
      <w:r>
        <w:rPr>
          <w:rFonts w:ascii="Times New Roman" w:hAnsi="Times New Roman" w:cs="Times New Roman"/>
          <w:sz w:val="24"/>
          <w:szCs w:val="24"/>
        </w:rPr>
        <w:t xml:space="preserve">Інформаційно-комунікаційна система 112 (далі – ІКС 112) призначена для здійснення екстрених комунікацій, їх обробки, зберігання, передачі інформації про них відповідним </w:t>
      </w:r>
      <w:r>
        <w:rPr>
          <w:rFonts w:ascii="Times New Roman" w:hAnsi="Times New Roman" w:cs="Times New Roman"/>
          <w:sz w:val="24"/>
          <w:szCs w:val="24"/>
        </w:rPr>
        <w:t xml:space="preserve">оперативно</w:t>
      </w:r>
      <w:r>
        <w:rPr>
          <w:rFonts w:ascii="Times New Roman" w:hAnsi="Times New Roman" w:cs="Times New Roman"/>
          <w:sz w:val="24"/>
          <w:szCs w:val="24"/>
        </w:rPr>
        <w:t xml:space="preserve">-диспетчерським службам, які доводять її до відома відповідних підрозділів екстреної допомоги населенню для її надання.</w:t>
      </w:r>
      <w:r/>
    </w:p>
    <w:p>
      <w:pPr>
        <w:ind w:firstLine="709"/>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ІКС112 є складовою частиною системи екстреної допомоги населенню за єдиним телефонним номером 112 (далі – система 112).</w:t>
      </w:r>
      <w:r/>
    </w:p>
    <w:p>
      <w:pPr>
        <w:ind w:firstLine="709"/>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Цілями створення ІКС 112 є автоматизація таких процесів надання екстреної допомоги:</w:t>
      </w:r>
      <w:r/>
    </w:p>
    <w:p>
      <w:pPr>
        <w:ind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здійснення та оброблення екстрених комунікацій;</w:t>
      </w:r>
      <w:r/>
    </w:p>
    <w:p>
      <w:pPr>
        <w:ind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визначення екстрених служб, необхідних для надання екстреної допомоги; </w:t>
      </w:r>
      <w:r/>
    </w:p>
    <w:p>
      <w:pPr>
        <w:ind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організація залучення екстрених служб шляхом передавання інформації про екстрені ситуації у відповідні </w:t>
      </w:r>
      <w:r>
        <w:rPr>
          <w:rFonts w:ascii="Times New Roman" w:hAnsi="Times New Roman" w:cs="Times New Roman"/>
          <w:bCs/>
          <w:sz w:val="24"/>
          <w:szCs w:val="24"/>
        </w:rPr>
        <w:t xml:space="preserve">оперативно</w:t>
      </w:r>
      <w:r>
        <w:rPr>
          <w:rFonts w:ascii="Times New Roman" w:hAnsi="Times New Roman" w:cs="Times New Roman"/>
          <w:bCs/>
          <w:sz w:val="24"/>
          <w:szCs w:val="24"/>
        </w:rPr>
        <w:t xml:space="preserve">-диспетчерські служби;</w:t>
      </w:r>
      <w:r/>
    </w:p>
    <w:p>
      <w:pPr>
        <w:ind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ведення обліку екстрених комунікацій, формування статистичної звітності, зберігання інформації про екстрені комунікації;</w:t>
      </w:r>
      <w:r/>
    </w:p>
    <w:p>
      <w:pPr>
        <w:ind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фіксування часу та процесу проходження інформації протягом організації надання екстреної допомоги.</w:t>
      </w:r>
      <w:r/>
    </w:p>
    <w:p>
      <w:pPr>
        <w:ind w:firstLine="709"/>
        <w:jc w:val="bot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Головна мета ІКС 112 полягає в забезпеченні організації надання екстреної допомоги населенню </w:t>
      </w:r>
      <w:r>
        <w:rPr>
          <w:rFonts w:ascii="Times New Roman" w:hAnsi="Times New Roman" w:cs="Times New Roman"/>
          <w:sz w:val="24"/>
          <w:szCs w:val="24"/>
        </w:rPr>
        <w:t xml:space="preserve">за принципом «єдиного вікна» з використанням технічних засобів електронних комунікацій у разі загрози виникнення або виникнення екстрених ситуацій.</w:t>
      </w:r>
      <w:bookmarkEnd w:id="1"/>
      <w:r/>
      <w:r/>
    </w:p>
    <w:p>
      <w:pPr>
        <w:ind w:firstLine="709"/>
        <w:jc w:val="both"/>
        <w:spacing w:after="0" w:line="240" w:lineRule="auto"/>
        <w:rPr>
          <w:rFonts w:ascii="Times New Roman" w:hAnsi="Times New Roman" w:cs="Times New Roman"/>
          <w:bCs/>
          <w:sz w:val="24"/>
          <w:szCs w:val="24"/>
        </w:rPr>
      </w:pPr>
      <w:r>
        <w:rPr>
          <w:rFonts w:ascii="Times New Roman" w:hAnsi="Times New Roman" w:eastAsia="Calibri" w:cs="Times New Roman"/>
          <w:sz w:val="24"/>
          <w:szCs w:val="24"/>
        </w:rPr>
        <w:t xml:space="preserve">Розроблення комплекту </w:t>
      </w:r>
      <w:r>
        <w:rPr>
          <w:rFonts w:ascii="Times New Roman" w:hAnsi="Times New Roman" w:eastAsia="Calibri" w:cs="Times New Roman"/>
          <w:sz w:val="24"/>
          <w:szCs w:val="24"/>
        </w:rPr>
        <w:t xml:space="preserve">проєктної</w:t>
      </w:r>
      <w:r>
        <w:rPr>
          <w:rFonts w:ascii="Times New Roman" w:hAnsi="Times New Roman" w:eastAsia="Calibri" w:cs="Times New Roman"/>
          <w:sz w:val="24"/>
          <w:szCs w:val="24"/>
        </w:rPr>
        <w:t xml:space="preserve"> документації </w:t>
      </w:r>
      <w:r>
        <w:rPr>
          <w:rFonts w:ascii="Times New Roman" w:hAnsi="Times New Roman" w:eastAsia="Calibri" w:cs="Times New Roman"/>
          <w:sz w:val="24"/>
          <w:szCs w:val="24"/>
        </w:rPr>
        <w:t xml:space="preserve">техноробочого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проєкту</w:t>
      </w:r>
      <w:r>
        <w:rPr>
          <w:rFonts w:ascii="Times New Roman" w:hAnsi="Times New Roman" w:eastAsia="Calibri" w:cs="Times New Roman"/>
          <w:sz w:val="24"/>
          <w:szCs w:val="24"/>
        </w:rPr>
        <w:t xml:space="preserve"> «Інформаційно-комунікаційна система 112» має виконуватись за стадіями і етапами відповідно до ГОСТ 34.601-90 та складатись з таких основних частин:</w:t>
      </w:r>
      <w:r/>
    </w:p>
    <w:p>
      <w:pPr>
        <w:ind w:firstLine="567"/>
        <w:jc w:val="both"/>
        <w:spacing w:before="120" w:after="0" w:line="240" w:lineRule="auto"/>
        <w:rPr>
          <w:rFonts w:ascii="Times New Roman" w:hAnsi="Times New Roman" w:cs="Times New Roman"/>
          <w:sz w:val="24"/>
          <w:szCs w:val="24"/>
        </w:rPr>
      </w:pPr>
      <w:r>
        <w:rPr>
          <w:rFonts w:ascii="Times New Roman" w:hAnsi="Times New Roman" w:cs="Times New Roman"/>
          <w:b/>
          <w:sz w:val="24"/>
          <w:szCs w:val="24"/>
        </w:rPr>
        <w:t xml:space="preserve">Стадія 1. Технічне завдання (</w:t>
      </w:r>
      <w:r>
        <w:rPr>
          <w:rFonts w:ascii="Times New Roman" w:hAnsi="Times New Roman" w:cs="Times New Roman"/>
          <w:sz w:val="24"/>
          <w:szCs w:val="24"/>
        </w:rPr>
        <w:t xml:space="preserve">далі – </w:t>
      </w:r>
      <w:r>
        <w:rPr>
          <w:rFonts w:ascii="Times New Roman" w:hAnsi="Times New Roman" w:cs="Times New Roman"/>
          <w:b/>
          <w:sz w:val="24"/>
          <w:szCs w:val="24"/>
        </w:rPr>
        <w:t xml:space="preserve">ТЗ) на розроблення </w:t>
      </w:r>
      <w:r>
        <w:rPr>
          <w:rFonts w:ascii="Times New Roman" w:hAnsi="Times New Roman" w:cs="Times New Roman"/>
          <w:b/>
          <w:sz w:val="24"/>
          <w:szCs w:val="24"/>
        </w:rPr>
        <w:t xml:space="preserve">проєктної</w:t>
      </w:r>
      <w:r>
        <w:rPr>
          <w:rFonts w:ascii="Times New Roman" w:hAnsi="Times New Roman" w:cs="Times New Roman"/>
          <w:b/>
          <w:sz w:val="24"/>
          <w:szCs w:val="24"/>
        </w:rPr>
        <w:t xml:space="preserve"> документації на ІКС 112.</w:t>
      </w:r>
      <w:r>
        <w:rPr>
          <w:rFonts w:ascii="Times New Roman" w:hAnsi="Times New Roman" w:cs="Times New Roman"/>
          <w:sz w:val="24"/>
          <w:szCs w:val="24"/>
        </w:rPr>
        <w:t xml:space="preserve"> ТЗ має визначати: </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вимоги до складу та призначення підсистем комунікаційних центрів «Служба 112» (</w:t>
      </w:r>
      <w:r>
        <w:rPr>
          <w:rFonts w:ascii="Times New Roman" w:hAnsi="Times New Roman" w:cs="Times New Roman"/>
          <w:sz w:val="24"/>
          <w:szCs w:val="24"/>
        </w:rPr>
        <w:t xml:space="preserve">далі – </w:t>
      </w:r>
      <w:r>
        <w:rPr>
          <w:rFonts w:ascii="Times New Roman" w:hAnsi="Times New Roman" w:eastAsia="Calibri" w:cs="Times New Roman"/>
          <w:sz w:val="24"/>
          <w:szCs w:val="24"/>
        </w:rPr>
        <w:t xml:space="preserve">КЦ 112) чотирьох </w:t>
      </w:r>
      <w:r>
        <w:rPr>
          <w:rFonts w:ascii="Times New Roman" w:hAnsi="Times New Roman" w:eastAsia="Calibri" w:cs="Times New Roman"/>
          <w:sz w:val="24"/>
          <w:szCs w:val="24"/>
        </w:rPr>
        <w:t xml:space="preserve">макрорегіонів</w:t>
      </w:r>
      <w:r>
        <w:rPr>
          <w:rFonts w:ascii="Times New Roman" w:hAnsi="Times New Roman" w:eastAsia="Calibri" w:cs="Times New Roman"/>
          <w:sz w:val="24"/>
          <w:szCs w:val="24"/>
        </w:rPr>
        <w:t xml:space="preserve"> України та резервного комунікаційного центру (</w:t>
      </w:r>
      <w:r>
        <w:rPr>
          <w:rFonts w:ascii="Times New Roman" w:hAnsi="Times New Roman" w:cs="Times New Roman"/>
          <w:sz w:val="24"/>
          <w:szCs w:val="24"/>
        </w:rPr>
        <w:t xml:space="preserve">далі – </w:t>
      </w:r>
      <w:r>
        <w:rPr>
          <w:rFonts w:ascii="Times New Roman" w:hAnsi="Times New Roman" w:eastAsia="Calibri" w:cs="Times New Roman"/>
          <w:sz w:val="24"/>
          <w:szCs w:val="24"/>
        </w:rPr>
        <w:t xml:space="preserve">РКЦ 112);</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вимоги до організації передачі екстрених викликів в комунікаційні центри з електронної комунікаційної мережі загального користування;</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вимоги до організації взаємодії між суб’єктами Системи екстреної допомоги населенню за єдиним телефонним номером 112 (КЦ «Служба 112», </w:t>
      </w:r>
      <w:r>
        <w:rPr>
          <w:rFonts w:ascii="Times New Roman" w:hAnsi="Times New Roman" w:eastAsia="Calibri" w:cs="Times New Roman"/>
          <w:sz w:val="24"/>
          <w:szCs w:val="24"/>
        </w:rPr>
        <w:t xml:space="preserve">оперативно</w:t>
      </w:r>
      <w:r>
        <w:rPr>
          <w:rFonts w:ascii="Times New Roman" w:hAnsi="Times New Roman" w:eastAsia="Calibri" w:cs="Times New Roman"/>
          <w:sz w:val="24"/>
          <w:szCs w:val="24"/>
        </w:rPr>
        <w:t xml:space="preserve">-диспетчерські служби (</w:t>
      </w:r>
      <w:r>
        <w:rPr>
          <w:rFonts w:ascii="Times New Roman" w:hAnsi="Times New Roman" w:cs="Times New Roman"/>
          <w:sz w:val="24"/>
          <w:szCs w:val="24"/>
        </w:rPr>
        <w:t xml:space="preserve">далі – </w:t>
      </w:r>
      <w:r>
        <w:rPr>
          <w:rFonts w:ascii="Times New Roman" w:hAnsi="Times New Roman" w:eastAsia="Calibri" w:cs="Times New Roman"/>
          <w:sz w:val="24"/>
          <w:szCs w:val="24"/>
        </w:rPr>
        <w:t xml:space="preserve">ОДС) екстрених служб 101, 102, 103,104 та відповідні підрозділи екстреної допомоги тощо) з використанням ресурсів Національної телекомунікаційної мережі (НТМ), відомчої </w:t>
      </w:r>
      <w:r>
        <w:rPr>
          <w:rFonts w:ascii="Times New Roman" w:hAnsi="Times New Roman" w:eastAsia="Calibri" w:cs="Times New Roman"/>
          <w:sz w:val="24"/>
          <w:szCs w:val="24"/>
        </w:rPr>
        <w:t xml:space="preserve">електронної комунікаційної мережі МВС України, електронної комунікаційної мережі загального користування;</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загальні вимоги до </w:t>
      </w:r>
      <w:r>
        <w:rPr>
          <w:rFonts w:ascii="Times New Roman" w:hAnsi="Times New Roman" w:eastAsia="Calibri" w:cs="Times New Roman"/>
          <w:sz w:val="24"/>
          <w:szCs w:val="24"/>
        </w:rPr>
        <w:t xml:space="preserve">проєктної</w:t>
      </w:r>
      <w:r>
        <w:rPr>
          <w:rFonts w:ascii="Times New Roman" w:hAnsi="Times New Roman" w:eastAsia="Calibri" w:cs="Times New Roman"/>
          <w:sz w:val="24"/>
          <w:szCs w:val="24"/>
        </w:rPr>
        <w:t xml:space="preserve"> та робочої документації. </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b/>
          <w:sz w:val="24"/>
          <w:szCs w:val="24"/>
        </w:rPr>
        <w:t xml:space="preserve">Стадія 2. Ескізний </w:t>
      </w:r>
      <w:r>
        <w:rPr>
          <w:rFonts w:ascii="Times New Roman" w:hAnsi="Times New Roman" w:cs="Times New Roman"/>
          <w:b/>
          <w:sz w:val="24"/>
          <w:szCs w:val="24"/>
        </w:rPr>
        <w:t xml:space="preserve">проєкт</w:t>
      </w:r>
      <w:r>
        <w:rPr>
          <w:rFonts w:ascii="Times New Roman" w:hAnsi="Times New Roman" w:cs="Times New Roman"/>
          <w:b/>
          <w:sz w:val="24"/>
          <w:szCs w:val="24"/>
        </w:rPr>
        <w:t xml:space="preserve">. </w:t>
      </w:r>
      <w:r>
        <w:rPr>
          <w:rFonts w:ascii="Times New Roman" w:hAnsi="Times New Roman" w:cs="Times New Roman"/>
          <w:sz w:val="24"/>
          <w:szCs w:val="24"/>
        </w:rPr>
        <w:t xml:space="preserve">Має містити: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Схему та опис організаційної структури ІКС 112;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Схему та опис структури (архітектури) ІКС112 у взаємодії з суб’єктами системи 112;</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Визначення підсистем типового КЦ 112, їх задач та функцій;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Схема та опис функціональної структури типового КЦ 112 та ІКС 112;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Оцінка потенційного навантаження на КЦ 112 в кожному з чотирьох </w:t>
      </w:r>
      <w:r>
        <w:rPr>
          <w:rFonts w:ascii="Times New Roman" w:hAnsi="Times New Roman" w:cs="Times New Roman"/>
          <w:sz w:val="24"/>
          <w:szCs w:val="24"/>
        </w:rPr>
        <w:t xml:space="preserve">макрорегіонів</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взаємодії між типовим КЦ 112 та </w:t>
      </w:r>
      <w:r>
        <w:rPr>
          <w:rFonts w:ascii="Times New Roman" w:hAnsi="Times New Roman" w:cs="Times New Roman"/>
          <w:sz w:val="24"/>
          <w:szCs w:val="24"/>
        </w:rPr>
        <w:t xml:space="preserve">оперативно</w:t>
      </w:r>
      <w:r>
        <w:rPr>
          <w:rFonts w:ascii="Times New Roman" w:hAnsi="Times New Roman" w:cs="Times New Roman"/>
          <w:sz w:val="24"/>
          <w:szCs w:val="24"/>
        </w:rPr>
        <w:t xml:space="preserve">-диспетчерськими службами 101, 102, 103, 104  </w:t>
      </w:r>
      <w:r>
        <w:rPr>
          <w:rFonts w:ascii="Times New Roman" w:hAnsi="Times New Roman" w:cs="Times New Roman"/>
          <w:sz w:val="24"/>
          <w:szCs w:val="24"/>
        </w:rPr>
        <w:t xml:space="preserve">макрорегіону</w:t>
      </w: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інформаційного забезпечення ІКС112</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взаємодії між складовими ІКС 112 в режимі резервування;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Пояснювальну записку.</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b/>
          <w:sz w:val="24"/>
          <w:szCs w:val="24"/>
        </w:rPr>
        <w:t xml:space="preserve">Стадія 3. Технічний </w:t>
      </w:r>
      <w:r>
        <w:rPr>
          <w:rFonts w:ascii="Times New Roman" w:hAnsi="Times New Roman" w:cs="Times New Roman"/>
          <w:b/>
          <w:sz w:val="24"/>
          <w:szCs w:val="24"/>
        </w:rPr>
        <w:t xml:space="preserve">проєкт</w:t>
      </w:r>
      <w:r>
        <w:rPr>
          <w:rFonts w:ascii="Times New Roman" w:hAnsi="Times New Roman" w:cs="Times New Roman"/>
          <w:b/>
          <w:sz w:val="24"/>
          <w:szCs w:val="24"/>
        </w:rPr>
        <w:t xml:space="preserve">.</w:t>
      </w:r>
      <w:r>
        <w:rPr>
          <w:rFonts w:ascii="Times New Roman" w:hAnsi="Times New Roman" w:cs="Times New Roman"/>
          <w:sz w:val="24"/>
          <w:szCs w:val="24"/>
        </w:rPr>
        <w:t xml:space="preserve"> Повинен передбачати розробку </w:t>
      </w:r>
      <w:r>
        <w:rPr>
          <w:rFonts w:ascii="Times New Roman" w:hAnsi="Times New Roman" w:cs="Times New Roman"/>
          <w:sz w:val="24"/>
          <w:szCs w:val="24"/>
        </w:rPr>
        <w:t xml:space="preserve">проєктної</w:t>
      </w:r>
      <w:r>
        <w:rPr>
          <w:rFonts w:ascii="Times New Roman" w:hAnsi="Times New Roman" w:cs="Times New Roman"/>
          <w:sz w:val="24"/>
          <w:szCs w:val="24"/>
        </w:rPr>
        <w:t xml:space="preserve"> документації на технічні рішення підсистем комунікаційних центрів «Служба 112» - основного (КЦ 112) і резервного (РКЦ 112) та має містити: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підсистеми прийому та обробки екстрених комунікацій (типового КЦ 112) та РКЦ 112;</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w:t>
      </w:r>
      <w:r>
        <w:rPr>
          <w:rFonts w:ascii="Times New Roman" w:hAnsi="Times New Roman" w:cs="Times New Roman"/>
          <w:sz w:val="24"/>
          <w:szCs w:val="24"/>
        </w:rPr>
        <w:t xml:space="preserve">х рішень підсистеми електронних комунікацій, комутації, маршрутизації та мережевого захисту в КЦ 112 та РКЦ 122, у тому числі застосування мережевих екранів, побудова VPN, системи управління мережами (NMS), опис мережевих сервісів (у тому числі DNS, DHCP, </w:t>
      </w:r>
      <w:sdt>
        <w:sdtPr>
          <w15:appearance w15:val="boundingBox"/>
          <w:id w:val="438185527"/>
          <w:tag w:val="goog_rdk_7"/>
          <w:rPr>
            <w:rFonts w:ascii="Times New Roman" w:hAnsi="Times New Roman" w:cs="Times New Roman"/>
            <w:sz w:val="24"/>
            <w:szCs w:val="24"/>
          </w:rPr>
        </w:sdtPr>
        <w:sdtContent>
          <w:r>
            <w:rPr>
              <w:rFonts w:ascii="Times New Roman" w:hAnsi="Times New Roman" w:cs="Times New Roman"/>
              <w:sz w:val="24"/>
              <w:szCs w:val="24"/>
            </w:rPr>
            <w:t xml:space="preserve">TFTP, NTP, MULTICAST, SFTP, FTP, </w:t>
          </w:r>
          <w:r>
            <w:rPr>
              <w:rFonts w:ascii="Times New Roman" w:hAnsi="Times New Roman" w:cs="Times New Roman"/>
              <w:sz w:val="24"/>
              <w:szCs w:val="24"/>
              <w:lang w:val="en-US"/>
            </w:rPr>
            <w:t xml:space="preserve">Quality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of</w:t>
          </w:r>
          <w:r>
            <w:rPr>
              <w:rFonts w:ascii="Times New Roman" w:hAnsi="Times New Roman" w:cs="Times New Roman"/>
              <w:sz w:val="24"/>
              <w:szCs w:val="24"/>
            </w:rPr>
            <w:t xml:space="preserve"> </w:t>
          </w:r>
          <w:r>
            <w:rPr>
              <w:rFonts w:ascii="Times New Roman" w:hAnsi="Times New Roman" w:cs="Times New Roman"/>
              <w:sz w:val="24"/>
              <w:szCs w:val="24"/>
            </w:rPr>
            <w:t xml:space="preserve">Service</w:t>
          </w:r>
        </w:sdtContent>
      </w:sdt>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підсистеми центру обробки та зберігання даних (типового ЦОД КЦ 112 та РКЦ112), у тому числі опис </w:t>
      </w:r>
      <w:r>
        <w:rPr>
          <w:rFonts w:ascii="Times New Roman" w:hAnsi="Times New Roman" w:cs="Times New Roman"/>
          <w:sz w:val="24"/>
          <w:szCs w:val="24"/>
          <w:lang w:val="en-US"/>
        </w:rPr>
        <w:t xml:space="preserve">Active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Directory</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підсистеми інформаційної безпеки КЦ 112 та РКЦ 112, у тому числі опис системи управління інформаційною безпекою та управління подіями безпеки</w:t>
      </w:r>
      <w:r>
        <w:rPr>
          <w:rStyle w:val="780"/>
          <w:rFonts w:ascii="Times New Roman" w:hAnsi="Times New Roman" w:cs="Times New Roman"/>
          <w:sz w:val="24"/>
          <w:szCs w:val="24"/>
        </w:rPr>
        <w:t xml:space="preserve"> </w:t>
      </w:r>
      <w:r>
        <w:rPr>
          <w:rFonts w:ascii="Times New Roman" w:hAnsi="Times New Roman" w:cs="Times New Roman"/>
          <w:sz w:val="24"/>
          <w:szCs w:val="24"/>
        </w:rPr>
        <w:t xml:space="preserve">(</w:t>
      </w:r>
      <w:r>
        <w:rPr>
          <w:rStyle w:val="780"/>
          <w:rFonts w:ascii="Times New Roman" w:hAnsi="Times New Roman" w:cs="Times New Roman"/>
          <w:sz w:val="24"/>
          <w:szCs w:val="24"/>
        </w:rPr>
        <w:t xml:space="preserve">SIEM</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підсистеми моніторингу складових  КЦ 112 та РКЦ 112 (всі рівні та підсистеми);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спеціального програмного забезпечення (далі – СПЗ) обр</w:t>
      </w:r>
      <w:r>
        <w:rPr>
          <w:rFonts w:ascii="Times New Roman" w:hAnsi="Times New Roman" w:cs="Times New Roman"/>
          <w:sz w:val="24"/>
          <w:szCs w:val="24"/>
        </w:rPr>
        <w:t xml:space="preserve">обки екстрених комунікацій (далі – ЕК), у тому числі описи технічних рішень підсистем взаємного оперативного інформування, геоінформаційного забезпечення, взаємодії з технічними об'єктами та прийому сигналів від цих об'єктів, формування статистичних даних;</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підсистеми адміністрування;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Опис технічних рішень підсистеми інженерної інфраструктури КЦ 112 та РКЦ 112;</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Пояснювальна записка до технічного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ІКС 112;</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Проєкти</w:t>
      </w:r>
      <w:r>
        <w:rPr>
          <w:rFonts w:ascii="Times New Roman" w:hAnsi="Times New Roman" w:cs="Times New Roman"/>
          <w:sz w:val="24"/>
          <w:szCs w:val="24"/>
        </w:rPr>
        <w:t xml:space="preserve"> експлуатаційної документації, склад якої визначається при </w:t>
      </w:r>
      <w:r>
        <w:rPr>
          <w:rFonts w:ascii="Times New Roman" w:hAnsi="Times New Roman" w:cs="Times New Roman"/>
          <w:sz w:val="24"/>
          <w:szCs w:val="24"/>
        </w:rPr>
        <w:t xml:space="preserve">проєктуванні</w:t>
      </w:r>
      <w:r>
        <w:rPr>
          <w:rFonts w:ascii="Times New Roman" w:hAnsi="Times New Roman" w:cs="Times New Roman"/>
          <w:sz w:val="24"/>
          <w:szCs w:val="24"/>
        </w:rPr>
        <w:t xml:space="preserve"> ІКС 112.</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Проєктна</w:t>
      </w:r>
      <w:r>
        <w:rPr>
          <w:rFonts w:ascii="Times New Roman" w:hAnsi="Times New Roman" w:eastAsia="Calibri" w:cs="Times New Roman"/>
          <w:sz w:val="24"/>
          <w:szCs w:val="24"/>
        </w:rPr>
        <w:t xml:space="preserve"> документація </w:t>
      </w:r>
      <w:r>
        <w:rPr>
          <w:rFonts w:ascii="Times New Roman" w:hAnsi="Times New Roman" w:eastAsia="Calibri" w:cs="Times New Roman"/>
          <w:sz w:val="24"/>
          <w:szCs w:val="24"/>
        </w:rPr>
        <w:t xml:space="preserve">техноробочого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проєкту</w:t>
      </w:r>
      <w:r>
        <w:rPr>
          <w:rFonts w:ascii="Times New Roman" w:hAnsi="Times New Roman" w:eastAsia="Calibri" w:cs="Times New Roman"/>
          <w:sz w:val="24"/>
          <w:szCs w:val="24"/>
        </w:rPr>
        <w:t xml:space="preserve"> повинна відповідати вимогам ДСТУ 3974-2000 та ГОСТ 34.201-89.</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b/>
          <w:sz w:val="24"/>
          <w:szCs w:val="24"/>
        </w:rPr>
        <w:t xml:space="preserve">Стадія 4. Робоча документація (РД). </w:t>
      </w:r>
      <w:r>
        <w:rPr>
          <w:rFonts w:ascii="Times New Roman" w:hAnsi="Times New Roman" w:cs="Times New Roman"/>
          <w:sz w:val="24"/>
          <w:szCs w:val="24"/>
        </w:rPr>
        <w:t xml:space="preserve">Повинна передбачати розроблення:</w:t>
      </w:r>
      <w:r/>
    </w:p>
    <w:p>
      <w:pPr>
        <w:ind w:firstLine="709"/>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Робоча документація на чотири КЦ 112 та один РКЦ 112.</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Кошторисної документації </w:t>
      </w:r>
      <w:r>
        <w:rPr>
          <w:rFonts w:ascii="Times New Roman" w:hAnsi="Times New Roman" w:cs="Times New Roman"/>
          <w:sz w:val="24"/>
          <w:szCs w:val="24"/>
        </w:rPr>
        <w:t xml:space="preserve">техноробочого</w:t>
      </w:r>
      <w:r>
        <w:rPr>
          <w:rFonts w:ascii="Times New Roman" w:hAnsi="Times New Roman" w:cs="Times New Roman"/>
          <w:sz w:val="24"/>
          <w:szCs w:val="24"/>
        </w:rPr>
        <w:t xml:space="preserve">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ІКС 112 (за даними Замовника).</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Робоча документація </w:t>
      </w:r>
      <w:r>
        <w:rPr>
          <w:rFonts w:ascii="Times New Roman" w:hAnsi="Times New Roman" w:eastAsia="Calibri" w:cs="Times New Roman"/>
          <w:sz w:val="24"/>
          <w:szCs w:val="24"/>
        </w:rPr>
        <w:t xml:space="preserve">техноробочого</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проєкту</w:t>
      </w:r>
      <w:r>
        <w:rPr>
          <w:rFonts w:ascii="Times New Roman" w:hAnsi="Times New Roman" w:eastAsia="Calibri" w:cs="Times New Roman"/>
          <w:sz w:val="24"/>
          <w:szCs w:val="24"/>
        </w:rPr>
        <w:t xml:space="preserve"> повинна відповідати вимогам ДСТУ 3974-2000 та ДБН А.2.2-3:2014.</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b/>
          <w:sz w:val="24"/>
          <w:szCs w:val="24"/>
        </w:rPr>
        <w:t xml:space="preserve">Стадія 5. Уведення в дію. </w:t>
      </w:r>
      <w:r>
        <w:rPr>
          <w:rFonts w:ascii="Times New Roman" w:hAnsi="Times New Roman" w:cs="Times New Roman"/>
          <w:sz w:val="24"/>
          <w:szCs w:val="24"/>
        </w:rPr>
        <w:t xml:space="preserve">На цій стадії мають бути розроблені такі документи: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Програма та методика попередніх випробувань та програма дослідної експлуатації;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Програма та методика державних приймальних випробувань.</w:t>
      </w:r>
      <w:r/>
    </w:p>
    <w:p>
      <w:pPr>
        <w:numPr>
          <w:ilvl w:val="1"/>
          <w:numId w:val="42"/>
        </w:numPr>
        <w:contextualSpacing/>
        <w:ind w:left="0" w:firstLine="56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Підстави для надання послуг </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Постанова Кабінету Міністрів України від 4 лютого 1998 року № 121</w:t>
      </w:r>
      <w:bookmarkStart w:id="2" w:name="o3"/>
      <w:r/>
      <w:bookmarkEnd w:id="2"/>
      <w:r>
        <w:rPr>
          <w:rFonts w:ascii="Times New Roman" w:hAnsi="Times New Roman" w:eastAsia="Calibri" w:cs="Times New Roman"/>
          <w:sz w:val="24"/>
          <w:szCs w:val="24"/>
        </w:rPr>
        <w:t xml:space="preserve"> «Про затвердження переліку обов’язкових етапів робіт під час проектування, впровадження та експлуатації засобів інформатизації».</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План заходів із створення системи екстреної допомоги населенню за єдиним телефонним номером 112, затверджений розпорядженням Кабінету Міністрів України від 15 листопада 2022 року № 1024-р.</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Галузева програма інформатизації системи Міністерства внутрішніх справ України та цент</w:t>
      </w:r>
      <w:r>
        <w:rPr>
          <w:rFonts w:ascii="Times New Roman" w:hAnsi="Times New Roman" w:eastAsia="Calibri" w:cs="Times New Roman"/>
          <w:sz w:val="24"/>
          <w:szCs w:val="24"/>
        </w:rPr>
        <w:t xml:space="preserve">ральних органів виконавчої влади, діяльність яких спрямовується і координується Кабінетом Міністрів України через Міністра внутрішніх справ України, на 2021–2023 роки, затверджена наказом Міністерства внутрішніх справ України від 22 квітня 2021 року № 301.</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Положення про інформаційно-комунікаційну систему 112, затверджене наказом Міністерства внутрішніх справ України від 09 червня 2023 року № 473, зареєстрованого в Міністерстві юстиції України 14 червня 2023 року за №988/40044.</w:t>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Протокол засідання Міжвідомчої</w:t>
      </w:r>
      <w:r>
        <w:rPr>
          <w:rFonts w:ascii="Times New Roman" w:hAnsi="Times New Roman" w:cs="Times New Roman"/>
          <w:sz w:val="24"/>
          <w:szCs w:val="24"/>
        </w:rPr>
        <w:t xml:space="preserve"> робочої групи з питань створення, впровадження, забезпечення функціонування та розвитку системи екстреної допомоги населенню за єдиним телефонним номером 112 </w:t>
      </w:r>
      <w:r>
        <w:rPr>
          <w:rFonts w:ascii="Times New Roman" w:hAnsi="Times New Roman" w:cs="Times New Roman"/>
          <w:sz w:val="24"/>
          <w:szCs w:val="24"/>
          <w:lang w:eastAsia="uk-UA"/>
        </w:rPr>
        <w:t xml:space="preserve"> від 07 липня 2023 року.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Протокол засід</w:t>
      </w:r>
      <w:r>
        <w:rPr>
          <w:rFonts w:ascii="Times New Roman" w:hAnsi="Times New Roman" w:cs="Times New Roman"/>
          <w:sz w:val="24"/>
          <w:szCs w:val="24"/>
        </w:rPr>
        <w:t xml:space="preserve">ання Міжвідомчої робочої групи з питань створення, впровадження, забезпечення функціонування та розвитку системи екстреної допомоги населенню за єдиним телефонним номером 112 від 09 червня 2023 року, зареєстрований за №109207/7/16-2023 від 12.06.2023 року.</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Протокол з</w:t>
      </w:r>
      <w:r>
        <w:rPr>
          <w:rFonts w:ascii="Times New Roman" w:hAnsi="Times New Roman" w:cs="Times New Roman"/>
          <w:sz w:val="24"/>
          <w:szCs w:val="24"/>
        </w:rPr>
        <w:t xml:space="preserve">асідання Міжвідомчої  робочої групи з питань створення, впровадження, забезпечення функціонування та розвитку системи екстреної допомоги населенню за єдиним телефонним номером 112 від 08 лютого 2024 року, зареєстрованого за №2094/07/16-2024 від 09.02.2024.</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38"/>
        <w:numPr>
          <w:ilvl w:val="1"/>
          <w:numId w:val="42"/>
        </w:numPr>
        <w:jc w:val="center"/>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eastAsia="en-US"/>
        </w:rPr>
        <w:t xml:space="preserve">Терміни розроблення та приймання </w:t>
      </w:r>
      <w:r>
        <w:rPr>
          <w:rFonts w:ascii="Times New Roman" w:hAnsi="Times New Roman" w:cs="Times New Roman"/>
          <w:b/>
          <w:bCs/>
          <w:sz w:val="24"/>
          <w:szCs w:val="24"/>
          <w:lang w:val="uk-UA" w:eastAsia="en-US"/>
        </w:rPr>
        <w:t xml:space="preserve">проєктної</w:t>
      </w:r>
      <w:r>
        <w:rPr>
          <w:rFonts w:ascii="Times New Roman" w:hAnsi="Times New Roman" w:cs="Times New Roman"/>
          <w:b/>
          <w:bCs/>
          <w:sz w:val="24"/>
          <w:szCs w:val="24"/>
          <w:lang w:val="uk-UA" w:eastAsia="en-US"/>
        </w:rPr>
        <w:t xml:space="preserve"> документації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sz w:val="24"/>
          <w:szCs w:val="24"/>
        </w:rPr>
        <w:t xml:space="preserve">Проєктна</w:t>
      </w:r>
      <w:r>
        <w:rPr>
          <w:rFonts w:ascii="Times New Roman" w:hAnsi="Times New Roman" w:cs="Times New Roman"/>
          <w:sz w:val="24"/>
          <w:szCs w:val="24"/>
        </w:rPr>
        <w:t xml:space="preserve"> документація повинна передаватись Замовнику за стадіями та етапами, визначеними у підрозділі 1.2 цих технічних вимог, відповідно до календарного плану з кінцевим терміном 31.12.2024 року. </w:t>
      </w:r>
      <w:r/>
    </w:p>
    <w:p>
      <w:pPr>
        <w:pStyle w:val="738"/>
        <w:ind w:left="0" w:firstLine="709"/>
        <w:jc w:val="both"/>
        <w:spacing w:after="0" w:line="240" w:lineRule="auto"/>
        <w:rPr>
          <w:rStyle w:val="779"/>
          <w:rFonts w:ascii="Times New Roman" w:hAnsi="Times New Roman" w:cs="Times New Roman"/>
          <w:sz w:val="24"/>
          <w:szCs w:val="24"/>
          <w:lang w:val="uk-UA"/>
        </w:rPr>
      </w:pPr>
      <w:r>
        <w:rPr>
          <w:rStyle w:val="779"/>
          <w:rFonts w:ascii="Times New Roman" w:hAnsi="Times New Roman" w:cs="Times New Roman"/>
          <w:sz w:val="24"/>
          <w:szCs w:val="24"/>
          <w:lang w:val="uk-UA"/>
        </w:rPr>
        <w:t xml:space="preserve">1.4.2 Приймання </w:t>
      </w:r>
      <w:r>
        <w:rPr>
          <w:rStyle w:val="779"/>
          <w:rFonts w:ascii="Times New Roman" w:hAnsi="Times New Roman" w:cs="Times New Roman"/>
          <w:sz w:val="24"/>
          <w:szCs w:val="24"/>
          <w:lang w:val="uk-UA"/>
        </w:rPr>
        <w:t xml:space="preserve">проєктної</w:t>
      </w:r>
      <w:r>
        <w:rPr>
          <w:rStyle w:val="779"/>
          <w:rFonts w:ascii="Times New Roman" w:hAnsi="Times New Roman" w:cs="Times New Roman"/>
          <w:sz w:val="24"/>
          <w:szCs w:val="24"/>
          <w:lang w:val="uk-UA"/>
        </w:rPr>
        <w:t xml:space="preserve"> документації повинно здійснюватися комісією Замовника відповідно до </w:t>
      </w:r>
      <w:r>
        <w:rPr>
          <w:rFonts w:ascii="Times New Roman" w:hAnsi="Times New Roman" w:cs="Times New Roman"/>
          <w:sz w:val="24"/>
          <w:szCs w:val="24"/>
          <w:lang w:val="uk-UA"/>
        </w:rPr>
        <w:t xml:space="preserve">ДСТУ 3974-2000 «Система розроблення та постановки продукції на виробництво. Правила виконання дослідно-конструкторських робіт. Загальні положення».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numPr>
          <w:ilvl w:val="1"/>
          <w:numId w:val="42"/>
        </w:numPr>
        <w:contextualSpacing/>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Замовник </w:t>
      </w:r>
      <w:r/>
    </w:p>
    <w:p>
      <w:pPr>
        <w:ind w:firstLine="567"/>
        <w:jc w:val="both"/>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Державна установа «ЦЕНТР ІНФРАСТРУКТУРИ ТА ТЕХНОЛОГІЙ МІНІСТЕРСТВА ВНУТРІШНІХ СПРАВ УКРАЇНИ» </w:t>
      </w:r>
      <w:r>
        <w:rPr>
          <w:rFonts w:ascii="Times New Roman" w:hAnsi="Times New Roman" w:eastAsia="Calibri" w:cs="Times New Roman"/>
          <w:sz w:val="24"/>
          <w:szCs w:val="24"/>
        </w:rPr>
        <w:t xml:space="preserve">(далі – ДУ ЦІТ МВС України)</w:t>
      </w:r>
      <w:r>
        <w:rPr>
          <w:rFonts w:ascii="Times New Roman" w:hAnsi="Times New Roman" w:cs="Times New Roman"/>
          <w:sz w:val="24"/>
          <w:szCs w:val="24"/>
          <w:lang w:eastAsia="uk-UA"/>
        </w:rPr>
        <w:t xml:space="preserve">, місцезнаходження – Україна, 03151, м. Київ, вул. Володимира </w:t>
      </w:r>
      <w:r>
        <w:rPr>
          <w:rFonts w:ascii="Times New Roman" w:hAnsi="Times New Roman" w:cs="Times New Roman"/>
          <w:sz w:val="24"/>
          <w:szCs w:val="24"/>
          <w:lang w:eastAsia="uk-UA"/>
        </w:rPr>
        <w:t xml:space="preserve">Сікевича</w:t>
      </w:r>
      <w:r>
        <w:rPr>
          <w:rFonts w:ascii="Times New Roman" w:hAnsi="Times New Roman" w:cs="Times New Roman"/>
          <w:sz w:val="24"/>
          <w:szCs w:val="24"/>
          <w:lang w:eastAsia="uk-UA"/>
        </w:rPr>
        <w:t xml:space="preserve">, буд. 28, код за ЄДРПОУ – 24521399.</w:t>
      </w:r>
      <w:r/>
    </w:p>
    <w:p>
      <w:pPr>
        <w:ind w:firstLine="567"/>
        <w:jc w:val="both"/>
        <w:spacing w:after="0" w:line="240" w:lineRule="auto"/>
        <w:shd w:val="clear" w:color="auto" w:fill="ffffff"/>
        <w:rPr>
          <w:rFonts w:ascii="Times New Roman" w:hAnsi="Times New Roman" w:cs="Times New Roman"/>
          <w:sz w:val="24"/>
          <w:szCs w:val="24"/>
          <w:lang w:eastAsia="uk-UA"/>
        </w:rPr>
      </w:pPr>
      <w:r>
        <w:rPr>
          <w:rFonts w:ascii="Times New Roman" w:hAnsi="Times New Roman" w:cs="Times New Roman"/>
          <w:sz w:val="24"/>
          <w:szCs w:val="24"/>
          <w:lang w:eastAsia="uk-UA"/>
        </w:rPr>
      </w:r>
      <w:r/>
    </w:p>
    <w:p>
      <w:pPr>
        <w:pStyle w:val="730"/>
        <w:numPr>
          <w:ilvl w:val="0"/>
          <w:numId w:val="42"/>
        </w:numPr>
        <w:ind w:left="720" w:hanging="360"/>
        <w:jc w:val="center"/>
        <w:spacing w:before="0"/>
        <w:tabs>
          <w:tab w:val="num" w:pos="0" w:leader="none"/>
        </w:tabs>
        <w:rPr>
          <w:rStyle w:val="779"/>
          <w:rFonts w:ascii="Times New Roman" w:hAnsi="Times New Roman" w:cs="Times New Roman"/>
          <w:b/>
          <w:color w:val="auto"/>
          <w:spacing w:val="-4"/>
          <w:sz w:val="24"/>
          <w:szCs w:val="24"/>
          <w:lang w:val="uk-UA"/>
        </w:rPr>
      </w:pPr>
      <w:r/>
      <w:bookmarkStart w:id="3" w:name="_Toc158124182"/>
      <w:r>
        <w:rPr>
          <w:rStyle w:val="778"/>
          <w:rFonts w:ascii="Times New Roman" w:hAnsi="Times New Roman" w:eastAsia="Calibri" w:cs="Times New Roman"/>
          <w:color w:val="auto"/>
          <w:spacing w:val="-4"/>
          <w:sz w:val="24"/>
          <w:szCs w:val="24"/>
          <w:lang w:val="uk-UA"/>
        </w:rPr>
        <w:t xml:space="preserve">Загальні </w:t>
      </w:r>
      <w:bookmarkStart w:id="4" w:name="_Toc158124183"/>
      <w:r/>
      <w:bookmarkEnd w:id="3"/>
      <w:r>
        <w:rPr>
          <w:rStyle w:val="778"/>
          <w:rFonts w:ascii="Times New Roman" w:hAnsi="Times New Roman" w:eastAsia="Calibri" w:cs="Times New Roman"/>
          <w:color w:val="auto"/>
          <w:spacing w:val="-4"/>
          <w:sz w:val="24"/>
          <w:szCs w:val="24"/>
          <w:lang w:val="uk-UA"/>
        </w:rPr>
        <w:t xml:space="preserve">в</w:t>
      </w:r>
      <w:r>
        <w:rPr>
          <w:rStyle w:val="779"/>
          <w:rFonts w:ascii="Times New Roman" w:hAnsi="Times New Roman" w:cs="Times New Roman"/>
          <w:b/>
          <w:color w:val="auto"/>
          <w:spacing w:val="-4"/>
          <w:sz w:val="24"/>
          <w:szCs w:val="24"/>
          <w:lang w:val="uk-UA"/>
        </w:rPr>
        <w:t xml:space="preserve">имоги до </w:t>
      </w:r>
      <w:r>
        <w:rPr>
          <w:rFonts w:ascii="Times New Roman" w:hAnsi="Times New Roman" w:cs="Times New Roman"/>
          <w:b/>
          <w:color w:val="auto"/>
          <w:spacing w:val="-4"/>
          <w:sz w:val="24"/>
          <w:szCs w:val="24"/>
          <w:lang w:val="uk-UA"/>
        </w:rPr>
        <w:t xml:space="preserve">інформаційно-комунікаційної системи 112 (</w:t>
      </w:r>
      <w:r>
        <w:rPr>
          <w:rStyle w:val="779"/>
          <w:rFonts w:ascii="Times New Roman" w:hAnsi="Times New Roman" w:cs="Times New Roman"/>
          <w:b/>
          <w:color w:val="auto"/>
          <w:spacing w:val="-4"/>
          <w:sz w:val="24"/>
          <w:szCs w:val="24"/>
          <w:lang w:val="uk-UA"/>
        </w:rPr>
        <w:t xml:space="preserve">ІКС 112) </w:t>
      </w:r>
      <w:r/>
    </w:p>
    <w:p>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2.1 Інформаційно-комунікаційна система 112 (ІКС112) має складатись з чотирьох основних центрів обробки екстрених комунікацій – комунікаційних центрів </w:t>
      </w:r>
      <w:r>
        <w:rPr>
          <w:rFonts w:ascii="Times New Roman" w:hAnsi="Times New Roman" w:eastAsia="Calibri" w:cs="Times New Roman"/>
          <w:bCs/>
          <w:sz w:val="24"/>
          <w:szCs w:val="24"/>
        </w:rPr>
        <w:t xml:space="preserve">«Служба 112» (КЦ 112), розташованих у містах Київ, Львів, Дніпро та Одеса</w:t>
      </w:r>
      <w:r>
        <w:rPr>
          <w:rFonts w:ascii="Times New Roman" w:hAnsi="Times New Roman" w:eastAsia="Calibri" w:cs="Times New Roman"/>
          <w:sz w:val="24"/>
          <w:szCs w:val="24"/>
        </w:rPr>
        <w:t xml:space="preserve">. Кожний з цих КЦ 112 </w:t>
      </w:r>
      <w:r>
        <w:rPr>
          <w:rFonts w:ascii="Times New Roman" w:hAnsi="Times New Roman" w:eastAsia="Calibri" w:cs="Times New Roman"/>
          <w:bCs/>
          <w:sz w:val="24"/>
          <w:szCs w:val="24"/>
        </w:rPr>
        <w:t xml:space="preserve">повинен обслуговувати територію відповідного </w:t>
      </w:r>
      <w:r>
        <w:rPr>
          <w:rFonts w:ascii="Times New Roman" w:hAnsi="Times New Roman" w:eastAsia="Calibri" w:cs="Times New Roman"/>
          <w:bCs/>
          <w:sz w:val="24"/>
          <w:szCs w:val="24"/>
        </w:rPr>
        <w:t xml:space="preserve">макрорегіону</w:t>
      </w:r>
      <w:r>
        <w:rPr>
          <w:rFonts w:ascii="Times New Roman" w:hAnsi="Times New Roman" w:eastAsia="Calibri" w:cs="Times New Roman"/>
          <w:bCs/>
          <w:sz w:val="24"/>
          <w:szCs w:val="24"/>
        </w:rPr>
        <w:t xml:space="preserve">, а саме:</w:t>
      </w: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комунікаційний центр «Служба 112» у м. Києві (центральний </w:t>
      </w:r>
      <w:r>
        <w:rPr>
          <w:rFonts w:ascii="Times New Roman" w:hAnsi="Times New Roman" w:eastAsia="Calibri" w:cs="Times New Roman"/>
          <w:sz w:val="24"/>
          <w:szCs w:val="24"/>
        </w:rPr>
        <w:t xml:space="preserve">макрорегіон</w:t>
      </w:r>
      <w:r>
        <w:rPr>
          <w:rFonts w:ascii="Times New Roman" w:hAnsi="Times New Roman" w:eastAsia="Calibri" w:cs="Times New Roman"/>
          <w:sz w:val="24"/>
          <w:szCs w:val="24"/>
        </w:rPr>
        <w:t xml:space="preserve">) з територією обслуговування у місті Києві та в областях: Київській (7 районів), Вінницькій (6 районів), Житомирській (4 райони), Чернігівській (5 районів), Черкаській (4 райони);</w:t>
      </w: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pacing w:val="-4"/>
          <w:sz w:val="24"/>
          <w:szCs w:val="24"/>
        </w:rPr>
        <w:t xml:space="preserve">комунікаційний центр «Служба 112» у м. Львові (західний </w:t>
      </w:r>
      <w:r>
        <w:rPr>
          <w:rFonts w:ascii="Times New Roman" w:hAnsi="Times New Roman" w:eastAsia="Calibri" w:cs="Times New Roman"/>
          <w:spacing w:val="-4"/>
          <w:sz w:val="24"/>
          <w:szCs w:val="24"/>
        </w:rPr>
        <w:t xml:space="preserve">макрорегіон</w:t>
      </w:r>
      <w:r>
        <w:rPr>
          <w:rFonts w:ascii="Times New Roman" w:hAnsi="Times New Roman" w:eastAsia="Calibri" w:cs="Times New Roman"/>
          <w:spacing w:val="-4"/>
          <w:sz w:val="24"/>
          <w:szCs w:val="24"/>
        </w:rPr>
        <w:t xml:space="preserve">) з територією обслуговування в областях: Львівській (7 районів), Волинській (4 райони), Рівненській (4 райони), Івано-Франківській (6 районів), Хмельницькій (3 райони), Тернопільській (3 райони), Закарпатській (6 районів), Чернівецькій (3 райони);</w:t>
      </w: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комунікаційний центр «Служба 112» у м. Дніпрі (східний </w:t>
      </w:r>
      <w:r>
        <w:rPr>
          <w:rFonts w:ascii="Times New Roman" w:hAnsi="Times New Roman" w:eastAsia="Calibri" w:cs="Times New Roman"/>
          <w:sz w:val="24"/>
          <w:szCs w:val="24"/>
        </w:rPr>
        <w:t xml:space="preserve">макрорегіон</w:t>
      </w:r>
      <w:r>
        <w:rPr>
          <w:rFonts w:ascii="Times New Roman" w:hAnsi="Times New Roman" w:eastAsia="Calibri" w:cs="Times New Roman"/>
          <w:sz w:val="24"/>
          <w:szCs w:val="24"/>
        </w:rPr>
        <w:t xml:space="preserve">) з територією обслуговування в областях: Дніпропетровській (7 районів), Запорізькій (5 районів), Харківській (7 районів), Донецькій (8 районів), Луганській (4 райони), Полтавській (4 райони), Сумській (5 районів);</w:t>
      </w:r>
      <w:r/>
    </w:p>
    <w:p>
      <w:pPr>
        <w:ind w:firstLine="709"/>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комунікаційний центр «Служба 112» у м. Одесі (південний </w:t>
      </w:r>
      <w:r>
        <w:rPr>
          <w:rFonts w:ascii="Times New Roman" w:hAnsi="Times New Roman" w:eastAsia="Calibri" w:cs="Times New Roman"/>
          <w:sz w:val="24"/>
          <w:szCs w:val="24"/>
        </w:rPr>
        <w:t xml:space="preserve">макрорегіон</w:t>
      </w:r>
      <w:r>
        <w:rPr>
          <w:rFonts w:ascii="Times New Roman" w:hAnsi="Times New Roman" w:eastAsia="Calibri" w:cs="Times New Roman"/>
          <w:sz w:val="24"/>
          <w:szCs w:val="24"/>
        </w:rPr>
        <w:t xml:space="preserve">) з територією обслуговування в АР Крим та в областях:  Одеській (7 районів), Миколаївській (4 райони), Херсонській (5 районів), Кіровоградській (4 райони).</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2.2 До складу ІКС 112 має також належати резервний комунікаційний центр «Служба 112», місце розташування якого має бути визначено в процесі </w:t>
      </w:r>
      <w:r>
        <w:rPr>
          <w:rFonts w:ascii="Times New Roman" w:hAnsi="Times New Roman" w:eastAsia="Calibri" w:cs="Times New Roman"/>
          <w:sz w:val="24"/>
          <w:szCs w:val="24"/>
        </w:rPr>
        <w:t xml:space="preserve">проєктування</w:t>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У разі неможливості здійснення основним комунікаційним центром (основними центрами) екстреної комунікації, її повинен здійснювати резервний </w:t>
      </w:r>
      <w:r>
        <w:rPr>
          <w:rFonts w:ascii="Times New Roman" w:hAnsi="Times New Roman" w:eastAsia="Calibri" w:cs="Times New Roman"/>
          <w:sz w:val="24"/>
          <w:szCs w:val="24"/>
        </w:rPr>
        <w:t xml:space="preserve">комунікаційний центр «Служба 112» (ЄРКЦ 112)</w:t>
      </w:r>
      <w:r>
        <w:rPr>
          <w:rFonts w:ascii="Times New Roman" w:hAnsi="Times New Roman" w:cs="Times New Roman"/>
          <w:sz w:val="24"/>
          <w:szCs w:val="24"/>
        </w:rPr>
        <w:t xml:space="preserve">, переключення на який має відбуватись в автоматизованому режимі.</w:t>
      </w:r>
      <w:r>
        <w:rPr>
          <w:rFonts w:ascii="Times New Roman" w:hAnsi="Times New Roman" w:eastAsia="Calibri" w:cs="Times New Roman"/>
          <w:sz w:val="24"/>
          <w:szCs w:val="24"/>
        </w:rPr>
        <w:t xml:space="preserve"> </w:t>
      </w:r>
      <w:r/>
    </w:p>
    <w:p>
      <w:pPr>
        <w:ind w:firstLine="73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2.3 Екстрені комунікації мають забезпечуватись з усіма особами, які перебувають на території України, у тому числі з особами з інвалідністю та особами, які не володіють державною мовою, та передбачати:</w:t>
      </w:r>
      <w:r/>
    </w:p>
    <w:p>
      <w:pPr>
        <w:numPr>
          <w:ilvl w:val="0"/>
          <w:numId w:val="43"/>
        </w:numPr>
        <w:contextualSpacing/>
        <w:ind w:left="0"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двосторонню голосову комунікацію (зворотний зв’язок) з кінцевим користувачем протягом усього часу надання екстреної допомоги за єдиним телефонним номером 112 </w:t>
      </w:r>
      <w:r>
        <w:rPr>
          <w:rFonts w:ascii="Times New Roman" w:hAnsi="Times New Roman" w:eastAsia="Calibri" w:cs="Times New Roman"/>
          <w:i/>
          <w:iCs/>
          <w:sz w:val="24"/>
          <w:szCs w:val="24"/>
        </w:rPr>
        <w:t xml:space="preserve">з можливостю переключення на режим </w:t>
      </w:r>
      <w:r>
        <w:rPr>
          <w:rFonts w:ascii="Times New Roman" w:hAnsi="Times New Roman" w:eastAsia="Calibri" w:cs="Times New Roman"/>
          <w:i/>
          <w:iCs/>
          <w:sz w:val="24"/>
          <w:szCs w:val="24"/>
        </w:rPr>
        <w:t xml:space="preserve">відеозв’язку</w:t>
      </w:r>
      <w:r>
        <w:rPr>
          <w:rFonts w:ascii="Times New Roman" w:hAnsi="Times New Roman" w:eastAsia="Calibri" w:cs="Times New Roman"/>
          <w:sz w:val="24"/>
          <w:szCs w:val="24"/>
        </w:rPr>
        <w:t xml:space="preserve">.</w:t>
      </w:r>
      <w:r/>
    </w:p>
    <w:p>
      <w:pPr>
        <w:numPr>
          <w:ilvl w:val="0"/>
          <w:numId w:val="43"/>
        </w:numPr>
        <w:contextualSpacing/>
        <w:ind w:left="0"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двосторонню текстову комунікацію (SMS) з кінцевим користувачем протягом усього часу надання екстреної допомоги за єдиним телефонним номером 112 </w:t>
      </w:r>
      <w:r>
        <w:rPr>
          <w:rFonts w:ascii="Times New Roman" w:hAnsi="Times New Roman" w:eastAsia="Calibri" w:cs="Times New Roman"/>
          <w:i/>
          <w:iCs/>
          <w:sz w:val="24"/>
          <w:szCs w:val="24"/>
        </w:rPr>
        <w:t xml:space="preserve">з можливостю переключення на режим </w:t>
      </w:r>
      <w:r>
        <w:rPr>
          <w:rFonts w:ascii="Times New Roman" w:hAnsi="Times New Roman" w:eastAsia="Calibri" w:cs="Times New Roman"/>
          <w:i/>
          <w:iCs/>
          <w:sz w:val="24"/>
          <w:szCs w:val="24"/>
        </w:rPr>
        <w:t xml:space="preserve">відеозв’язку</w:t>
      </w:r>
      <w:r>
        <w:rPr>
          <w:rFonts w:ascii="Times New Roman" w:hAnsi="Times New Roman" w:eastAsia="Calibri" w:cs="Times New Roman"/>
          <w:i/>
          <w:iCs/>
          <w:sz w:val="24"/>
          <w:szCs w:val="24"/>
        </w:rPr>
        <w:t xml:space="preserve">.</w:t>
      </w:r>
      <w:r/>
    </w:p>
    <w:p>
      <w:pPr>
        <w:numPr>
          <w:ilvl w:val="0"/>
          <w:numId w:val="43"/>
        </w:numPr>
        <w:contextualSpacing/>
        <w:ind w:left="0"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відео та текстову комунікацію з сайту 112. </w:t>
      </w:r>
      <w:r/>
    </w:p>
    <w:p>
      <w:pPr>
        <w:numPr>
          <w:ilvl w:val="0"/>
          <w:numId w:val="43"/>
        </w:numPr>
        <w:contextualSpacing/>
        <w:ind w:left="0"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комунікацію з кінцевим користувачем за можливістю використання мобільного додатку Єдиного державного веб порталу електронних послуг (</w:t>
      </w:r>
      <w:bookmarkStart w:id="5" w:name="w1_2"/>
      <w:r>
        <w:rPr>
          <w:rFonts w:ascii="Times New Roman" w:hAnsi="Times New Roman" w:eastAsia="Calibri" w:cs="Times New Roman"/>
          <w:sz w:val="24"/>
          <w:szCs w:val="24"/>
        </w:rPr>
        <w:fldChar w:fldCharType="begin"/>
      </w:r>
      <w:r>
        <w:rPr>
          <w:rFonts w:ascii="Times New Roman" w:hAnsi="Times New Roman" w:eastAsia="Calibri" w:cs="Times New Roman"/>
          <w:sz w:val="24"/>
          <w:szCs w:val="24"/>
        </w:rPr>
        <w:instrText xml:space="preserve"> HYPERLINK "https://zakon.rada.gov.ua/laws/show/1024-2022-%D1%80?find=1&amp;text=%D0%94%D1%96%D1%8F" \l "w1_3" </w:instrText>
      </w:r>
      <w:r>
        <w:rPr>
          <w:rFonts w:ascii="Times New Roman" w:hAnsi="Times New Roman" w:eastAsia="Calibri" w:cs="Times New Roman"/>
          <w:sz w:val="24"/>
          <w:szCs w:val="24"/>
        </w:rPr>
        <w:fldChar w:fldCharType="separate"/>
      </w:r>
      <w:r>
        <w:rPr>
          <w:rFonts w:ascii="Times New Roman" w:hAnsi="Times New Roman" w:eastAsia="Calibri" w:cs="Times New Roman"/>
          <w:sz w:val="24"/>
          <w:szCs w:val="24"/>
        </w:rPr>
        <w:t xml:space="preserve">Дія</w:t>
      </w:r>
      <w:r>
        <w:rPr>
          <w:rFonts w:ascii="Times New Roman" w:hAnsi="Times New Roman" w:eastAsia="Calibri" w:cs="Times New Roman"/>
          <w:sz w:val="24"/>
          <w:szCs w:val="24"/>
        </w:rPr>
        <w:fldChar w:fldCharType="end"/>
      </w:r>
      <w:bookmarkEnd w:id="5"/>
      <w:r>
        <w:rPr>
          <w:rFonts w:ascii="Times New Roman" w:hAnsi="Times New Roman" w:eastAsia="Calibri" w:cs="Times New Roman"/>
          <w:sz w:val="24"/>
          <w:szCs w:val="24"/>
        </w:rPr>
        <w:t xml:space="preserve">).</w:t>
      </w:r>
      <w:r/>
    </w:p>
    <w:p>
      <w:pPr>
        <w:pStyle w:val="730"/>
        <w:numPr>
          <w:ilvl w:val="0"/>
          <w:numId w:val="42"/>
        </w:numPr>
        <w:ind w:left="493" w:hanging="493"/>
        <w:jc w:val="center"/>
        <w:spacing w:before="0"/>
        <w:tabs>
          <w:tab w:val="num" w:pos="0" w:leader="none"/>
        </w:tabs>
        <w:rPr>
          <w:rStyle w:val="778"/>
          <w:rFonts w:ascii="Times New Roman" w:hAnsi="Times New Roman" w:eastAsia="Calibri" w:cs="Times New Roman"/>
          <w:bCs/>
          <w:color w:val="auto"/>
          <w:sz w:val="24"/>
          <w:szCs w:val="24"/>
          <w:lang w:val="uk-UA"/>
        </w:rPr>
      </w:pPr>
      <w:r>
        <w:rPr>
          <w:rStyle w:val="778"/>
          <w:rFonts w:ascii="Times New Roman" w:hAnsi="Times New Roman" w:eastAsia="Calibri" w:cs="Times New Roman"/>
          <w:color w:val="auto"/>
          <w:sz w:val="24"/>
          <w:szCs w:val="24"/>
          <w:lang w:val="uk-UA"/>
        </w:rPr>
        <w:t xml:space="preserve">Загальні технічні вимоги</w:t>
      </w:r>
      <w:bookmarkEnd w:id="4"/>
      <w:r/>
      <w:r/>
    </w:p>
    <w:p>
      <w:pPr>
        <w:ind w:left="-142" w:firstLine="851"/>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3.1. ІКС 112 повинна забезпечувати безперебійне функціонування (24 години на добу / 7 днів у тиждень / 365 днів у році).</w:t>
      </w:r>
      <w:r/>
    </w:p>
    <w:p>
      <w:pPr>
        <w:ind w:firstLine="709"/>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3.2. При </w:t>
      </w:r>
      <w:r>
        <w:rPr>
          <w:rFonts w:ascii="Times New Roman" w:hAnsi="Times New Roman" w:eastAsia="Calibri" w:cs="Times New Roman"/>
          <w:sz w:val="24"/>
          <w:szCs w:val="24"/>
        </w:rPr>
        <w:t xml:space="preserve">проєктуванні</w:t>
      </w:r>
      <w:r>
        <w:rPr>
          <w:rFonts w:ascii="Times New Roman" w:hAnsi="Times New Roman" w:eastAsia="Calibri" w:cs="Times New Roman"/>
          <w:sz w:val="24"/>
          <w:szCs w:val="24"/>
        </w:rPr>
        <w:t xml:space="preserve"> повинно передбачатись </w:t>
      </w:r>
      <w:r>
        <w:rPr>
          <w:rFonts w:ascii="Times New Roman" w:hAnsi="Times New Roman" w:cs="Times New Roman"/>
          <w:sz w:val="24"/>
          <w:szCs w:val="24"/>
        </w:rPr>
        <w:t xml:space="preserve">розміщення обладнання та пе</w:t>
      </w:r>
      <w:r>
        <w:rPr>
          <w:rFonts w:ascii="Times New Roman" w:hAnsi="Times New Roman" w:cs="Times New Roman"/>
          <w:sz w:val="24"/>
          <w:szCs w:val="24"/>
        </w:rPr>
        <w:t xml:space="preserve">рсоналу ІКС 112 в пристосованих приміщеннях, обладнаних підсистемою інженерної інфраструктури, придатних для встановлення та роботи технологічного обладнання і таких, що забезпечують в повному обсязі нормативні умови праці інженерно-технічного персоналу.  </w:t>
      </w:r>
      <w:r/>
    </w:p>
    <w:p>
      <w:pPr>
        <w:pStyle w:val="738"/>
        <w:ind w:left="0" w:firstLine="709"/>
        <w:jc w:val="both"/>
        <w:spacing w:before="12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3.3. В приміщеннях, де розміщується обладнання та інженерно-технічний персонал, мають забезпечуватись такі кліматичні умови:</w:t>
      </w:r>
      <w:r/>
    </w:p>
    <w:p>
      <w:pPr>
        <w:pStyle w:val="738"/>
        <w:ind w:left="0" w:firstLine="709"/>
        <w:jc w:val="both"/>
        <w:spacing w:before="120"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температура повітря від плюс 18°С до плюс 30°С;</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відносна вологість при 25°С від 40 відсотків до 80 відсотків.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атмосферний тиск від 84 до 107 кПа (від 630 до 800 мм </w:t>
      </w:r>
      <w:r>
        <w:rPr>
          <w:rFonts w:ascii="Times New Roman" w:hAnsi="Times New Roman" w:cs="Times New Roman"/>
          <w:sz w:val="24"/>
          <w:szCs w:val="24"/>
        </w:rPr>
        <w:t xml:space="preserve">рт</w:t>
      </w:r>
      <w:r>
        <w:rPr>
          <w:rFonts w:ascii="Times New Roman" w:hAnsi="Times New Roman" w:cs="Times New Roman"/>
          <w:sz w:val="24"/>
          <w:szCs w:val="24"/>
        </w:rPr>
        <w:t xml:space="preserve">. ст.).</w:t>
      </w:r>
      <w:r/>
    </w:p>
    <w:p>
      <w:pPr>
        <w:ind w:firstLine="709"/>
        <w:jc w:val="both"/>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3.4. Відповідно до призначення в ІКС 112 шляхом використання декількох каналів електроживлення та охолодження, резервування компонентів за схемою N+1 має забезпечуватись ІІІ рівень надійності функціонування за стандартом TIA/EIA 942 з такими показниками:</w:t>
      </w:r>
      <w:r/>
    </w:p>
    <w:p>
      <w:pPr>
        <w:ind w:firstLine="709"/>
        <w:jc w:val="both"/>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 xml:space="preserve">можливість одночасної експлуатації і технічного обслуговування обладнання;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 простою за рік – не більше 1,6 години;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коефіцієнт </w:t>
      </w:r>
      <w:r>
        <w:rPr>
          <w:rFonts w:ascii="Times New Roman" w:hAnsi="Times New Roman" w:cs="Times New Roman"/>
          <w:sz w:val="24"/>
          <w:szCs w:val="24"/>
        </w:rPr>
        <w:t xml:space="preserve">відмовостійкості</w:t>
      </w:r>
      <w:r>
        <w:rPr>
          <w:rFonts w:ascii="Times New Roman" w:hAnsi="Times New Roman" w:cs="Times New Roman"/>
          <w:sz w:val="24"/>
          <w:szCs w:val="24"/>
        </w:rPr>
        <w:t xml:space="preserve"> 99,982 відсотків.</w:t>
      </w:r>
      <w:r/>
    </w:p>
    <w:p>
      <w:pPr>
        <w:ind w:firstLine="737"/>
        <w:jc w:val="both"/>
        <w:spacing w:before="120"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3.5 Дл</w:t>
      </w:r>
      <w:r>
        <w:rPr>
          <w:rFonts w:ascii="Times New Roman" w:hAnsi="Times New Roman" w:eastAsia="Calibri" w:cs="Times New Roman"/>
          <w:sz w:val="24"/>
          <w:szCs w:val="24"/>
        </w:rPr>
        <w:t xml:space="preserve">я забезпечення унормованих втрат викликів в екстрених службах 101, 102 та 104, показник втрат екстрених викликів для ІКС 112 має не перебільшувати 0,00001 (0,01 проміле). Загальні показники якості обслуговування екстрених викликів наведені у таблиці нижче.</w:t>
      </w:r>
      <w:r/>
    </w:p>
    <w:p>
      <w:pPr>
        <w:ind w:firstLine="495"/>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tbl>
      <w:tblPr>
        <w:tblW w:w="7639" w:type="dxa"/>
        <w:tblInd w:w="705" w:type="dxa"/>
        <w:tblLook w:val="04A0" w:firstRow="1" w:lastRow="0" w:firstColumn="1" w:lastColumn="0" w:noHBand="0" w:noVBand="1"/>
      </w:tblPr>
      <w:tblGrid>
        <w:gridCol w:w="2252"/>
        <w:gridCol w:w="2977"/>
        <w:gridCol w:w="2410"/>
      </w:tblGrid>
      <w:tr>
        <w:trPr>
          <w:trHeight w:val="743"/>
        </w:trPr>
        <w:tc>
          <w:tcPr>
            <w:shd w:val="clear" w:color="auto" w:fill="auto"/>
            <w:tcBorders>
              <w:top w:val="single" w:color="auto" w:sz="4" w:space="0"/>
              <w:left w:val="single" w:color="auto" w:sz="4" w:space="0"/>
              <w:bottom w:val="single" w:color="auto" w:sz="4" w:space="0"/>
              <w:right w:val="single" w:color="auto" w:sz="4" w:space="0"/>
            </w:tcBorders>
            <w:tcW w:w="2252" w:type="dxa"/>
            <w:vAlign w:val="center"/>
            <w:textDirection w:val="lrTb"/>
            <w:noWrap/>
          </w:tcPr>
          <w:p>
            <w:pPr>
              <w:ind w:firstLine="27"/>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Служба</w:t>
            </w:r>
            <w:r/>
          </w:p>
        </w:tc>
        <w:tc>
          <w:tcPr>
            <w:shd w:val="clear" w:color="auto" w:fill="auto"/>
            <w:tcBorders>
              <w:top w:val="single" w:color="auto" w:sz="4" w:space="0"/>
              <w:left w:val="none" w:color="000000" w:sz="4" w:space="0"/>
              <w:bottom w:val="single" w:color="auto" w:sz="4" w:space="0"/>
              <w:right w:val="single" w:color="auto" w:sz="4" w:space="0"/>
            </w:tcBorders>
            <w:tcW w:w="297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Показник обслуговування (доступності)</w:t>
            </w:r>
            <w:r/>
          </w:p>
        </w:tc>
        <w:tc>
          <w:tcPr>
            <w:shd w:val="clear" w:color="auto" w:fill="auto"/>
            <w:tcBorders>
              <w:top w:val="single" w:color="auto" w:sz="4" w:space="0"/>
              <w:left w:val="none" w:color="000000" w:sz="4" w:space="0"/>
              <w:bottom w:val="single" w:color="auto" w:sz="4" w:space="0"/>
              <w:right w:val="single" w:color="auto" w:sz="4" w:space="0"/>
            </w:tcBorders>
            <w:tcW w:w="2410"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Показник відмови (втрати виклика)</w:t>
            </w:r>
            <w:r/>
          </w:p>
        </w:tc>
      </w:tr>
      <w:tr>
        <w:trPr>
          <w:trHeight w:val="312"/>
        </w:trPr>
        <w:tc>
          <w:tcPr>
            <w:shd w:val="clear" w:color="auto" w:fill="auto"/>
            <w:tcBorders>
              <w:top w:val="none" w:color="000000" w:sz="4" w:space="0"/>
              <w:left w:val="single" w:color="auto" w:sz="4" w:space="0"/>
              <w:bottom w:val="single" w:color="auto" w:sz="4" w:space="0"/>
              <w:right w:val="single" w:color="auto" w:sz="4" w:space="0"/>
            </w:tcBorders>
            <w:tcW w:w="2252" w:type="dxa"/>
            <w:vAlign w:val="center"/>
            <w:textDirection w:val="lrTb"/>
            <w:noWrap/>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112</w:t>
            </w:r>
            <w:r/>
          </w:p>
        </w:tc>
        <w:tc>
          <w:tcPr>
            <w:shd w:val="clear" w:color="auto" w:fill="auto"/>
            <w:tcBorders>
              <w:top w:val="none" w:color="000000" w:sz="4" w:space="0"/>
              <w:left w:val="none" w:color="000000" w:sz="4" w:space="0"/>
              <w:bottom w:val="single" w:color="auto" w:sz="4" w:space="0"/>
              <w:right w:val="single" w:color="auto" w:sz="4" w:space="0"/>
            </w:tcBorders>
            <w:tcW w:w="2977" w:type="dxa"/>
            <w:vAlign w:val="center"/>
            <w:textDirection w:val="lrTb"/>
            <w:noWrap/>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0,99999</w:t>
            </w:r>
            <w:r/>
          </w:p>
        </w:tc>
        <w:tc>
          <w:tcPr>
            <w:shd w:val="clear" w:color="auto" w:fill="auto"/>
            <w:tcBorders>
              <w:top w:val="none" w:color="000000" w:sz="4" w:space="0"/>
              <w:left w:val="none" w:color="000000" w:sz="4" w:space="0"/>
              <w:bottom w:val="single" w:color="auto" w:sz="4" w:space="0"/>
              <w:right w:val="single" w:color="auto" w:sz="4" w:space="0"/>
            </w:tcBorders>
            <w:tcW w:w="2410" w:type="dxa"/>
            <w:vAlign w:val="center"/>
            <w:textDirection w:val="lrTb"/>
            <w:noWrap/>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0,00001</w:t>
            </w:r>
            <w:r/>
          </w:p>
        </w:tc>
      </w:tr>
      <w:tr>
        <w:trPr>
          <w:trHeight w:val="312"/>
        </w:trPr>
        <w:tc>
          <w:tcPr>
            <w:shd w:val="clear" w:color="auto" w:fill="auto"/>
            <w:tcBorders>
              <w:top w:val="none" w:color="000000" w:sz="4" w:space="0"/>
              <w:left w:val="single" w:color="auto" w:sz="4" w:space="0"/>
              <w:bottom w:val="single" w:color="auto" w:sz="4" w:space="0"/>
              <w:right w:val="single" w:color="auto" w:sz="4" w:space="0"/>
            </w:tcBorders>
            <w:tcW w:w="2252" w:type="dxa"/>
            <w:vAlign w:val="center"/>
            <w:textDirection w:val="lrTb"/>
            <w:noWrap/>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101,102,103,104</w:t>
            </w:r>
            <w:r/>
          </w:p>
        </w:tc>
        <w:tc>
          <w:tcPr>
            <w:shd w:val="clear" w:color="auto" w:fill="auto"/>
            <w:tcBorders>
              <w:top w:val="none" w:color="000000" w:sz="4" w:space="0"/>
              <w:left w:val="none" w:color="000000" w:sz="4" w:space="0"/>
              <w:bottom w:val="single" w:color="auto" w:sz="4" w:space="0"/>
              <w:right w:val="single" w:color="auto" w:sz="4" w:space="0"/>
            </w:tcBorders>
            <w:tcW w:w="2977" w:type="dxa"/>
            <w:vAlign w:val="center"/>
            <w:textDirection w:val="lrTb"/>
            <w:noWrap/>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0,999</w:t>
            </w:r>
            <w:r/>
          </w:p>
        </w:tc>
        <w:tc>
          <w:tcPr>
            <w:shd w:val="clear" w:color="auto" w:fill="auto"/>
            <w:tcBorders>
              <w:top w:val="none" w:color="000000" w:sz="4" w:space="0"/>
              <w:left w:val="none" w:color="000000" w:sz="4" w:space="0"/>
              <w:bottom w:val="single" w:color="auto" w:sz="4" w:space="0"/>
              <w:right w:val="single" w:color="auto" w:sz="4" w:space="0"/>
            </w:tcBorders>
            <w:tcW w:w="2410" w:type="dxa"/>
            <w:vAlign w:val="center"/>
            <w:textDirection w:val="lrTb"/>
            <w:noWrap/>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0,001</w:t>
            </w:r>
            <w:r/>
          </w:p>
        </w:tc>
      </w:tr>
      <w:tr>
        <w:trPr>
          <w:trHeight w:val="444"/>
        </w:trPr>
        <w:tc>
          <w:tcPr>
            <w:shd w:val="clear" w:color="auto" w:fill="auto"/>
            <w:tcBorders>
              <w:top w:val="none" w:color="000000" w:sz="4" w:space="0"/>
              <w:left w:val="single" w:color="auto" w:sz="4" w:space="0"/>
              <w:bottom w:val="single" w:color="auto" w:sz="4" w:space="0"/>
              <w:right w:val="single" w:color="auto" w:sz="4" w:space="0"/>
            </w:tcBorders>
            <w:tcW w:w="2252" w:type="dxa"/>
            <w:vAlign w:val="center"/>
            <w:textDirection w:val="lrTb"/>
            <w:noWrap/>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Загальне значення </w:t>
            </w:r>
            <w:r/>
          </w:p>
        </w:tc>
        <w:tc>
          <w:tcPr>
            <w:shd w:val="clear" w:color="auto" w:fill="auto"/>
            <w:tcBorders>
              <w:top w:val="none" w:color="000000" w:sz="4" w:space="0"/>
              <w:left w:val="none" w:color="000000" w:sz="4" w:space="0"/>
              <w:bottom w:val="single" w:color="auto" w:sz="4" w:space="0"/>
              <w:right w:val="single" w:color="auto" w:sz="4" w:space="0"/>
            </w:tcBorders>
            <w:tcW w:w="2977" w:type="dxa"/>
            <w:vAlign w:val="center"/>
            <w:textDirection w:val="lrTb"/>
            <w:noWrap/>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0,99899</w:t>
            </w:r>
            <w:r/>
          </w:p>
        </w:tc>
        <w:tc>
          <w:tcPr>
            <w:shd w:val="clear" w:color="auto" w:fill="auto"/>
            <w:tcBorders>
              <w:top w:val="none" w:color="000000" w:sz="4" w:space="0"/>
              <w:left w:val="none" w:color="000000" w:sz="4" w:space="0"/>
              <w:bottom w:val="single" w:color="auto" w:sz="4" w:space="0"/>
              <w:right w:val="single" w:color="auto" w:sz="4" w:space="0"/>
            </w:tcBorders>
            <w:tcW w:w="2410" w:type="dxa"/>
            <w:vAlign w:val="center"/>
            <w:textDirection w:val="lrTb"/>
            <w:noWrap/>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0,00101</w:t>
            </w:r>
            <w:r/>
          </w:p>
        </w:tc>
      </w:tr>
    </w:tbl>
    <w:p>
      <w:pPr>
        <w:ind w:firstLine="495"/>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r>
      <w:r/>
    </w:p>
    <w:p>
      <w:pPr>
        <w:ind w:firstLine="737"/>
        <w:jc w:val="both"/>
        <w:spacing w:before="120" w:after="0" w:line="240" w:lineRule="auto"/>
        <w:rPr>
          <w:rFonts w:ascii="Times New Roman" w:hAnsi="Times New Roman" w:cs="Times New Roman"/>
          <w:sz w:val="24"/>
          <w:szCs w:val="24"/>
        </w:rPr>
      </w:pPr>
      <w:r/>
      <w:bookmarkStart w:id="6" w:name="n28"/>
      <w:r/>
      <w:bookmarkEnd w:id="6"/>
      <w:r>
        <w:rPr>
          <w:rFonts w:ascii="Times New Roman" w:hAnsi="Times New Roman" w:cs="Times New Roman"/>
          <w:sz w:val="24"/>
          <w:szCs w:val="24"/>
        </w:rPr>
        <w:t xml:space="preserve">3.3 Обробка та захист інформації в ІКС 112 здійснюються відповідно до вимог </w:t>
      </w:r>
      <w:hyperlink r:id="rId11" w:tooltip="https://zakon.rada.gov.ua/laws/show/80/94-%D0%B2%D1%80" w:history="1">
        <w:r>
          <w:rPr>
            <w:rFonts w:ascii="Times New Roman" w:hAnsi="Times New Roman" w:cs="Times New Roman"/>
            <w:sz w:val="24"/>
            <w:szCs w:val="24"/>
            <w:u w:val="single"/>
          </w:rPr>
          <w:t xml:space="preserve">Закону України</w:t>
        </w:r>
      </w:hyperlink>
      <w:r>
        <w:rPr>
          <w:rFonts w:ascii="Times New Roman" w:hAnsi="Times New Roman" w:cs="Times New Roman"/>
          <w:sz w:val="24"/>
          <w:szCs w:val="24"/>
        </w:rPr>
        <w:t xml:space="preserve"> «Про захист інформації в інформаційно-комунікаційних системах» та інших нормативно-правових актів.</w:t>
      </w:r>
      <w:r/>
    </w:p>
    <w:p>
      <w:pPr>
        <w:contextualSpacing/>
        <w:ind w:left="993"/>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567"/>
        <w:jc w:val="center"/>
        <w:spacing w:after="0" w:line="24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4. Вимоги до оформлення </w:t>
      </w:r>
      <w:r>
        <w:rPr>
          <w:rFonts w:ascii="Times New Roman" w:hAnsi="Times New Roman" w:eastAsia="Calibri" w:cs="Times New Roman"/>
          <w:b/>
          <w:bCs/>
          <w:sz w:val="24"/>
          <w:szCs w:val="24"/>
        </w:rPr>
        <w:t xml:space="preserve">проєктної</w:t>
      </w:r>
      <w:r>
        <w:rPr>
          <w:rFonts w:ascii="Times New Roman" w:hAnsi="Times New Roman" w:eastAsia="Calibri" w:cs="Times New Roman"/>
          <w:b/>
          <w:bCs/>
          <w:sz w:val="24"/>
          <w:szCs w:val="24"/>
        </w:rPr>
        <w:t xml:space="preserve"> документації </w:t>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eastAsia="Calibri" w:cs="Times New Roman"/>
          <w:sz w:val="24"/>
          <w:szCs w:val="24"/>
        </w:rPr>
        <w:t xml:space="preserve">Оформлення Документації повинно бути узгоджено та відповідати  Технічному завданню на ІКС 112 та відповідати ДСТУ 3974-2000, ГОСТ 34.201- 89 та ДБН А.2.2-3:2014.</w:t>
      </w:r>
      <w:r/>
    </w:p>
    <w:p>
      <w:pPr>
        <w:contextualSpacing/>
        <w:jc w:val="both"/>
        <w:spacing w:after="0" w:line="240" w:lineRule="auto"/>
        <w:shd w:val="clear" w:color="auto" w:fill="ffffff"/>
        <w:rPr>
          <w:rFonts w:ascii="Times New Roman" w:hAnsi="Times New Roman" w:cs="Times New Roman"/>
          <w:b/>
          <w:bCs/>
          <w:sz w:val="24"/>
          <w:szCs w:val="24"/>
        </w:rPr>
      </w:pPr>
      <w:r>
        <w:rPr>
          <w:rFonts w:ascii="Times New Roman" w:hAnsi="Times New Roman" w:cs="Times New Roman"/>
          <w:b/>
          <w:bCs/>
          <w:sz w:val="24"/>
          <w:szCs w:val="24"/>
        </w:rPr>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Учаснику необхідно надати у складі тендерної пропозиції гарантійний лист наступного змісту:</w:t>
      </w:r>
      <w:r>
        <w:rPr>
          <w:rFonts w:ascii="Times New Roman" w:hAnsi="Times New Roman" w:cs="Times New Roman"/>
          <w:sz w:val="24"/>
          <w:szCs w:val="24"/>
        </w:rPr>
        <w:t xml:space="preserve"> Ми _______________________ (назва учасника, код ЄДРПОУ), у разі визначення нас переможцями процедури закупівлі _________________ (ідентифікатор закупівлі), зобов’язуємся провести експертизу вартості послуг, за рез</w:t>
      </w:r>
      <w:r>
        <w:rPr>
          <w:rFonts w:ascii="Times New Roman" w:hAnsi="Times New Roman" w:cs="Times New Roman"/>
          <w:sz w:val="24"/>
          <w:szCs w:val="24"/>
        </w:rPr>
        <w:t xml:space="preserve">ультатом аукціону/розкриття тендерних пропозицій, вказаних в Додатку 5 до тендерної документації та надати ДУ ЦІТ МВС України документ, що підтверджує вартість вказаних послуг до укладання договору за результатом проведеної процедури закупівлі. У разі нада</w:t>
      </w:r>
      <w:r>
        <w:rPr>
          <w:rFonts w:ascii="Times New Roman" w:hAnsi="Times New Roman" w:cs="Times New Roman"/>
          <w:sz w:val="24"/>
          <w:szCs w:val="24"/>
        </w:rPr>
        <w:t xml:space="preserve">ння документу де вартість послуг буде нижча ніж зазначив ____________________ (назва учасника, код ЄДРПОУ) за результатом аукціону/розкриття тендерних пропозицій, МИ зобов’язується укласти додаткову угоду до договору, що буде укладено за результатом провед</w:t>
      </w:r>
      <w:r>
        <w:rPr>
          <w:rFonts w:ascii="Times New Roman" w:hAnsi="Times New Roman" w:cs="Times New Roman"/>
          <w:sz w:val="24"/>
          <w:szCs w:val="24"/>
        </w:rPr>
        <w:t xml:space="preserve">еної процедури закупівлі на зменшення суми даного договору до вартості зазначеної в документі за результатом проведеної експертизи вартості послуг. Ми _______________________ (назва учасника, код ЄДРПОУ) зобов’язуємось укласти Додаткову угоду в дату уклада</w:t>
      </w:r>
      <w:r>
        <w:rPr>
          <w:rFonts w:ascii="Times New Roman" w:hAnsi="Times New Roman" w:cs="Times New Roman"/>
          <w:sz w:val="24"/>
          <w:szCs w:val="24"/>
        </w:rPr>
        <w:t xml:space="preserve">ння договору за результатом проведеної процедури закупівлі. Зазначаємо, що експертиза вартості послуг буде проведена виключно за НАШ рахунок та Замовник ніяким чином та в ніякому вигляді не відшкодовує/оплачує дані послуги з проведення експертизи вартості.</w:t>
      </w:r>
      <w:r/>
    </w:p>
    <w:p>
      <w:pPr>
        <w:contextualSpacing/>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r>
      <w:r/>
    </w:p>
    <w:p>
      <w:pPr>
        <w:contextualSpacing/>
        <w:ind w:firstLine="567"/>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b/>
          <w:bCs/>
          <w:sz w:val="24"/>
          <w:szCs w:val="24"/>
        </w:rPr>
        <w:t xml:space="preserve">Учаснику необхідно надати у складі тендерної пропозиції гарантійний лист наступного змісту: </w:t>
      </w:r>
      <w:r>
        <w:rPr>
          <w:rFonts w:ascii="Times New Roman" w:hAnsi="Times New Roman" w:cs="Times New Roman"/>
          <w:sz w:val="24"/>
          <w:szCs w:val="24"/>
        </w:rPr>
        <w:t xml:space="preserve">Ми _______________________ (назва учасника, код ЄДРПОУ), </w:t>
      </w:r>
      <w:r>
        <w:rPr>
          <w:rFonts w:ascii="Times New Roman" w:hAnsi="Times New Roman" w:cs="Times New Roman"/>
          <w:color w:val="000000"/>
          <w:sz w:val="24"/>
          <w:szCs w:val="24"/>
        </w:rPr>
        <w:t xml:space="preserve">зобов’язуємось передати виключні майнові права Замовнику на використання твору Виконавця, який створено в результаті виконання умов договору, що буде укладений за результатом проведеної процедури закупівлі _____________________</w:t>
      </w:r>
      <w:r>
        <w:rPr>
          <w:rFonts w:ascii="Times New Roman" w:hAnsi="Times New Roman" w:cs="Times New Roman"/>
          <w:sz w:val="24"/>
          <w:szCs w:val="24"/>
        </w:rPr>
        <w:t xml:space="preserve">(ідентифікатор закупівлі)</w:t>
      </w:r>
      <w:r>
        <w:rPr>
          <w:rFonts w:ascii="Times New Roman" w:hAnsi="Times New Roman" w:cs="Times New Roman"/>
          <w:color w:val="000000"/>
          <w:sz w:val="24"/>
          <w:szCs w:val="24"/>
        </w:rPr>
        <w:t xml:space="preserve">, а саме на </w:t>
      </w:r>
      <w:r>
        <w:rPr>
          <w:rFonts w:ascii="Times New Roman" w:hAnsi="Times New Roman" w:cs="Times New Roman"/>
          <w:sz w:val="24"/>
          <w:szCs w:val="24"/>
        </w:rPr>
        <w:t xml:space="preserve">розроблення комплекту </w:t>
      </w:r>
      <w:r>
        <w:rPr>
          <w:rFonts w:ascii="Times New Roman" w:hAnsi="Times New Roman" w:cs="Times New Roman"/>
          <w:sz w:val="24"/>
          <w:szCs w:val="24"/>
        </w:rPr>
        <w:t xml:space="preserve">проєктної</w:t>
      </w:r>
      <w:r>
        <w:rPr>
          <w:rFonts w:ascii="Times New Roman" w:hAnsi="Times New Roman" w:cs="Times New Roman"/>
          <w:sz w:val="24"/>
          <w:szCs w:val="24"/>
        </w:rPr>
        <w:t xml:space="preserve"> документації </w:t>
      </w:r>
      <w:r>
        <w:rPr>
          <w:rFonts w:ascii="Times New Roman" w:hAnsi="Times New Roman" w:cs="Times New Roman"/>
          <w:sz w:val="24"/>
          <w:szCs w:val="24"/>
        </w:rPr>
        <w:t xml:space="preserve">техноробочого</w:t>
      </w:r>
      <w:r>
        <w:rPr>
          <w:rFonts w:ascii="Times New Roman" w:hAnsi="Times New Roman" w:cs="Times New Roman"/>
          <w:sz w:val="24"/>
          <w:szCs w:val="24"/>
        </w:rPr>
        <w:t xml:space="preserve">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«Інформаційно-комунікаційна система 112»</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такими способами: відтворення; включення до складеного твору; включення до іншого твору, крім складеного твору; розповсюдження примірників твору; імпорт примірників твору; здавання в </w:t>
      </w:r>
      <w:r>
        <w:rPr>
          <w:rFonts w:ascii="Times New Roman" w:hAnsi="Times New Roman" w:cs="Times New Roman"/>
          <w:color w:val="000000"/>
          <w:sz w:val="24"/>
          <w:szCs w:val="24"/>
        </w:rPr>
        <w:t xml:space="preserve">найм</w:t>
      </w:r>
      <w:r>
        <w:rPr>
          <w:rFonts w:ascii="Times New Roman" w:hAnsi="Times New Roman" w:cs="Times New Roman"/>
          <w:color w:val="000000"/>
          <w:sz w:val="24"/>
          <w:szCs w:val="24"/>
        </w:rPr>
        <w:t xml:space="preserve"> або в позичку примірників твору;  публічне виконання, публічний показ, публічне демонстрування, публічне сповіщення, інтерактивне надання доступу публіці </w:t>
      </w:r>
      <w:r>
        <w:rPr>
          <w:rFonts w:ascii="Times New Roman" w:hAnsi="Times New Roman" w:cs="Times New Roman"/>
          <w:color w:val="000000"/>
          <w:sz w:val="24"/>
          <w:szCs w:val="24"/>
        </w:rPr>
        <w:t xml:space="preserve">та інші способи доведення до загального відома публіки; переклад; переробка, адаптація, аранжування та інші подібні зміни твору, відповідно до статті 15 Закону України «Про авторське право і суміжні права» у строк відповідно до вимог чинного законодавства.</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14 616 666,67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чотирнадцять мільйонів шістсот шістнадцять тисяч шістсот шістдесят шість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4"/>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287" w:hanging="360"/>
      </w:pPr>
      <w:rPr>
        <w:rFonts w:hint="default" w:ascii="Arial" w:hAnsi="Aria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9">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
      <w:lvlJc w:val="left"/>
      <w:pPr>
        <w:ind w:left="495" w:hanging="495"/>
      </w:pPr>
      <w:rPr>
        <w:rFonts w:hint="default"/>
      </w:rPr>
    </w:lvl>
    <w:lvl w:ilvl="1">
      <w:start w:val="1"/>
      <w:numFmt w:val="decimal"/>
      <w:isLgl w:val="false"/>
      <w:suff w:val="space"/>
      <w:lvlText w:val="%1.%2."/>
      <w:lvlJc w:val="left"/>
      <w:pPr>
        <w:ind w:left="720" w:hanging="720"/>
      </w:pPr>
      <w:rPr>
        <w:rFonts w:hint="default"/>
        <w:b/>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7">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4">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4"/>
  </w:num>
  <w:num w:numId="2">
    <w:abstractNumId w:val="20"/>
  </w:num>
  <w:num w:numId="3">
    <w:abstractNumId w:val="9"/>
  </w:num>
  <w:num w:numId="4">
    <w:abstractNumId w:val="28"/>
  </w:num>
  <w:num w:numId="5">
    <w:abstractNumId w:val="8"/>
  </w:num>
  <w:num w:numId="6">
    <w:abstractNumId w:val="35"/>
  </w:num>
  <w:num w:numId="7">
    <w:abstractNumId w:val="12"/>
  </w:num>
  <w:num w:numId="8">
    <w:abstractNumId w:val="37"/>
  </w:num>
  <w:num w:numId="9">
    <w:abstractNumId w:val="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6"/>
  </w:num>
  <w:num w:numId="17">
    <w:abstractNumId w:val="2"/>
  </w:num>
  <w:num w:numId="18">
    <w:abstractNumId w:val="41"/>
  </w:num>
  <w:num w:numId="19">
    <w:abstractNumId w:val="2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30"/>
  </w:num>
  <w:num w:numId="25">
    <w:abstractNumId w:val="22"/>
  </w:num>
  <w:num w:numId="26">
    <w:abstractNumId w:val="25"/>
  </w:num>
  <w:num w:numId="27">
    <w:abstractNumId w:val="32"/>
  </w:num>
  <w:num w:numId="28">
    <w:abstractNumId w:val="23"/>
  </w:num>
  <w:num w:numId="29">
    <w:abstractNumId w:val="33"/>
  </w:num>
  <w:num w:numId="30">
    <w:abstractNumId w:val="19"/>
  </w:num>
  <w:num w:numId="31">
    <w:abstractNumId w:val="4"/>
  </w:num>
  <w:num w:numId="32">
    <w:abstractNumId w:val="21"/>
  </w:num>
  <w:num w:numId="33">
    <w:abstractNumId w:val="18"/>
  </w:num>
  <w:num w:numId="34">
    <w:abstractNumId w:val="15"/>
  </w:num>
  <w:num w:numId="35">
    <w:abstractNumId w:val="39"/>
  </w:num>
  <w:num w:numId="36">
    <w:abstractNumId w:val="6"/>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0"/>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735"/>
    <w:link w:val="730"/>
    <w:uiPriority w:val="9"/>
    <w:rPr>
      <w:rFonts w:ascii="Arial" w:hAnsi="Arial" w:eastAsia="Arial" w:cs="Arial"/>
      <w:sz w:val="40"/>
      <w:szCs w:val="40"/>
    </w:rPr>
  </w:style>
  <w:style w:type="character" w:styleId="15">
    <w:name w:val="Heading 2 Char"/>
    <w:basedOn w:val="735"/>
    <w:link w:val="731"/>
    <w:uiPriority w:val="9"/>
    <w:rPr>
      <w:rFonts w:ascii="Arial" w:hAnsi="Arial" w:eastAsia="Arial" w:cs="Arial"/>
      <w:sz w:val="34"/>
    </w:rPr>
  </w:style>
  <w:style w:type="character" w:styleId="17">
    <w:name w:val="Heading 3 Char"/>
    <w:basedOn w:val="735"/>
    <w:link w:val="732"/>
    <w:uiPriority w:val="9"/>
    <w:rPr>
      <w:rFonts w:ascii="Arial" w:hAnsi="Arial" w:eastAsia="Arial" w:cs="Arial"/>
      <w:sz w:val="30"/>
      <w:szCs w:val="30"/>
    </w:rPr>
  </w:style>
  <w:style w:type="character" w:styleId="19">
    <w:name w:val="Heading 4 Char"/>
    <w:basedOn w:val="735"/>
    <w:link w:val="733"/>
    <w:uiPriority w:val="9"/>
    <w:rPr>
      <w:rFonts w:ascii="Arial" w:hAnsi="Arial" w:eastAsia="Arial" w:cs="Arial"/>
      <w:b/>
      <w:bCs/>
      <w:sz w:val="26"/>
      <w:szCs w:val="26"/>
    </w:rPr>
  </w:style>
  <w:style w:type="paragraph" w:styleId="20">
    <w:name w:val="Heading 5"/>
    <w:basedOn w:val="729"/>
    <w:next w:val="729"/>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5"/>
    <w:link w:val="20"/>
    <w:uiPriority w:val="9"/>
    <w:rPr>
      <w:rFonts w:ascii="Arial" w:hAnsi="Arial" w:eastAsia="Arial" w:cs="Arial"/>
      <w:b/>
      <w:bCs/>
      <w:sz w:val="24"/>
      <w:szCs w:val="24"/>
    </w:rPr>
  </w:style>
  <w:style w:type="character" w:styleId="23">
    <w:name w:val="Heading 6 Char"/>
    <w:basedOn w:val="735"/>
    <w:link w:val="734"/>
    <w:uiPriority w:val="9"/>
    <w:rPr>
      <w:rFonts w:ascii="Arial" w:hAnsi="Arial" w:eastAsia="Arial" w:cs="Arial"/>
      <w:b/>
      <w:bCs/>
      <w:sz w:val="22"/>
      <w:szCs w:val="22"/>
    </w:rPr>
  </w:style>
  <w:style w:type="paragraph" w:styleId="24">
    <w:name w:val="Heading 7"/>
    <w:basedOn w:val="729"/>
    <w:next w:val="729"/>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5"/>
    <w:link w:val="24"/>
    <w:uiPriority w:val="9"/>
    <w:rPr>
      <w:rFonts w:ascii="Arial" w:hAnsi="Arial" w:eastAsia="Arial" w:cs="Arial"/>
      <w:b/>
      <w:bCs/>
      <w:i/>
      <w:iCs/>
      <w:sz w:val="22"/>
      <w:szCs w:val="22"/>
    </w:rPr>
  </w:style>
  <w:style w:type="paragraph" w:styleId="26">
    <w:name w:val="Heading 8"/>
    <w:basedOn w:val="729"/>
    <w:next w:val="729"/>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5"/>
    <w:link w:val="26"/>
    <w:uiPriority w:val="9"/>
    <w:rPr>
      <w:rFonts w:ascii="Arial" w:hAnsi="Arial" w:eastAsia="Arial" w:cs="Arial"/>
      <w:i/>
      <w:iCs/>
      <w:sz w:val="22"/>
      <w:szCs w:val="22"/>
    </w:rPr>
  </w:style>
  <w:style w:type="paragraph" w:styleId="28">
    <w:name w:val="Heading 9"/>
    <w:basedOn w:val="729"/>
    <w:next w:val="729"/>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5"/>
    <w:link w:val="28"/>
    <w:uiPriority w:val="9"/>
    <w:rPr>
      <w:rFonts w:ascii="Arial" w:hAnsi="Arial" w:eastAsia="Arial" w:cs="Arial"/>
      <w:i/>
      <w:iCs/>
      <w:sz w:val="21"/>
      <w:szCs w:val="21"/>
    </w:rPr>
  </w:style>
  <w:style w:type="paragraph" w:styleId="33">
    <w:name w:val="Title"/>
    <w:basedOn w:val="729"/>
    <w:next w:val="729"/>
    <w:link w:val="34"/>
    <w:uiPriority w:val="10"/>
    <w:qFormat/>
    <w:pPr>
      <w:contextualSpacing/>
      <w:spacing w:before="300" w:after="200"/>
    </w:pPr>
    <w:rPr>
      <w:sz w:val="48"/>
      <w:szCs w:val="48"/>
    </w:rPr>
  </w:style>
  <w:style w:type="character" w:styleId="34">
    <w:name w:val="Title Char"/>
    <w:basedOn w:val="735"/>
    <w:link w:val="33"/>
    <w:uiPriority w:val="10"/>
    <w:rPr>
      <w:sz w:val="48"/>
      <w:szCs w:val="48"/>
    </w:rPr>
  </w:style>
  <w:style w:type="paragraph" w:styleId="35">
    <w:name w:val="Subtitle"/>
    <w:basedOn w:val="729"/>
    <w:next w:val="729"/>
    <w:link w:val="36"/>
    <w:uiPriority w:val="11"/>
    <w:qFormat/>
    <w:pPr>
      <w:spacing w:before="200" w:after="200"/>
    </w:pPr>
    <w:rPr>
      <w:sz w:val="24"/>
      <w:szCs w:val="24"/>
    </w:rPr>
  </w:style>
  <w:style w:type="character" w:styleId="36">
    <w:name w:val="Subtitle Char"/>
    <w:basedOn w:val="735"/>
    <w:link w:val="35"/>
    <w:uiPriority w:val="11"/>
    <w:rPr>
      <w:sz w:val="24"/>
      <w:szCs w:val="24"/>
    </w:rPr>
  </w:style>
  <w:style w:type="paragraph" w:styleId="37">
    <w:name w:val="Quote"/>
    <w:basedOn w:val="729"/>
    <w:next w:val="729"/>
    <w:link w:val="38"/>
    <w:uiPriority w:val="29"/>
    <w:qFormat/>
    <w:pPr>
      <w:ind w:left="720" w:right="720"/>
    </w:pPr>
    <w:rPr>
      <w:i/>
    </w:rPr>
  </w:style>
  <w:style w:type="character" w:styleId="38">
    <w:name w:val="Quote Char"/>
    <w:link w:val="37"/>
    <w:uiPriority w:val="29"/>
    <w:rPr>
      <w:i/>
    </w:rPr>
  </w:style>
  <w:style w:type="paragraph" w:styleId="39">
    <w:name w:val="Intense Quote"/>
    <w:basedOn w:val="729"/>
    <w:next w:val="729"/>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9"/>
    <w:link w:val="42"/>
    <w:uiPriority w:val="99"/>
    <w:unhideWhenUsed/>
    <w:pPr>
      <w:spacing w:after="0" w:line="240" w:lineRule="auto"/>
      <w:tabs>
        <w:tab w:val="center" w:pos="7143" w:leader="none"/>
        <w:tab w:val="right" w:pos="14287" w:leader="none"/>
      </w:tabs>
    </w:pPr>
  </w:style>
  <w:style w:type="character" w:styleId="42">
    <w:name w:val="Header Char"/>
    <w:basedOn w:val="735"/>
    <w:link w:val="41"/>
    <w:uiPriority w:val="99"/>
  </w:style>
  <w:style w:type="character" w:styleId="44">
    <w:name w:val="Footer Char"/>
    <w:basedOn w:val="735"/>
    <w:link w:val="744"/>
    <w:uiPriority w:val="99"/>
  </w:style>
  <w:style w:type="paragraph" w:styleId="45">
    <w:name w:val="Caption"/>
    <w:basedOn w:val="729"/>
    <w:next w:val="729"/>
    <w:uiPriority w:val="35"/>
    <w:semiHidden/>
    <w:unhideWhenUsed/>
    <w:qFormat/>
    <w:pPr>
      <w:spacing w:line="276" w:lineRule="auto"/>
    </w:pPr>
    <w:rPr>
      <w:b/>
      <w:bCs/>
      <w:color w:val="4f81bd" w:themeColor="accent1"/>
      <w:sz w:val="18"/>
      <w:szCs w:val="18"/>
    </w:rPr>
  </w:style>
  <w:style w:type="character" w:styleId="46">
    <w:name w:val="Caption Char"/>
    <w:basedOn w:val="45"/>
    <w:link w:val="744"/>
    <w:uiPriority w:val="99"/>
  </w:style>
  <w:style w:type="table" w:styleId="48">
    <w:name w:val="Table Grid Light"/>
    <w:basedOn w:val="7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9"/>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5"/>
    <w:uiPriority w:val="99"/>
    <w:unhideWhenUsed/>
    <w:rPr>
      <w:vertAlign w:val="superscript"/>
    </w:rPr>
  </w:style>
  <w:style w:type="paragraph" w:styleId="177">
    <w:name w:val="endnote text"/>
    <w:basedOn w:val="729"/>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5"/>
    <w:uiPriority w:val="99"/>
    <w:semiHidden/>
    <w:unhideWhenUsed/>
    <w:rPr>
      <w:vertAlign w:val="superscript"/>
    </w:rPr>
  </w:style>
  <w:style w:type="paragraph" w:styleId="180">
    <w:name w:val="toc 1"/>
    <w:basedOn w:val="729"/>
    <w:next w:val="729"/>
    <w:uiPriority w:val="39"/>
    <w:unhideWhenUsed/>
    <w:pPr>
      <w:ind w:left="0" w:right="0" w:firstLine="0"/>
      <w:spacing w:after="57"/>
    </w:pPr>
  </w:style>
  <w:style w:type="paragraph" w:styleId="181">
    <w:name w:val="toc 2"/>
    <w:basedOn w:val="729"/>
    <w:next w:val="729"/>
    <w:uiPriority w:val="39"/>
    <w:unhideWhenUsed/>
    <w:pPr>
      <w:ind w:left="283" w:right="0" w:firstLine="0"/>
      <w:spacing w:after="57"/>
    </w:pPr>
  </w:style>
  <w:style w:type="paragraph" w:styleId="182">
    <w:name w:val="toc 3"/>
    <w:basedOn w:val="729"/>
    <w:next w:val="729"/>
    <w:uiPriority w:val="39"/>
    <w:unhideWhenUsed/>
    <w:pPr>
      <w:ind w:left="567" w:right="0" w:firstLine="0"/>
      <w:spacing w:after="57"/>
    </w:pPr>
  </w:style>
  <w:style w:type="paragraph" w:styleId="183">
    <w:name w:val="toc 4"/>
    <w:basedOn w:val="729"/>
    <w:next w:val="729"/>
    <w:uiPriority w:val="39"/>
    <w:unhideWhenUsed/>
    <w:pPr>
      <w:ind w:left="850" w:right="0" w:firstLine="0"/>
      <w:spacing w:after="57"/>
    </w:pPr>
  </w:style>
  <w:style w:type="paragraph" w:styleId="184">
    <w:name w:val="toc 5"/>
    <w:basedOn w:val="729"/>
    <w:next w:val="729"/>
    <w:uiPriority w:val="39"/>
    <w:unhideWhenUsed/>
    <w:pPr>
      <w:ind w:left="1134" w:right="0" w:firstLine="0"/>
      <w:spacing w:after="57"/>
    </w:pPr>
  </w:style>
  <w:style w:type="paragraph" w:styleId="185">
    <w:name w:val="toc 6"/>
    <w:basedOn w:val="729"/>
    <w:next w:val="729"/>
    <w:uiPriority w:val="39"/>
    <w:unhideWhenUsed/>
    <w:pPr>
      <w:ind w:left="1417" w:right="0" w:firstLine="0"/>
      <w:spacing w:after="57"/>
    </w:pPr>
  </w:style>
  <w:style w:type="paragraph" w:styleId="186">
    <w:name w:val="toc 7"/>
    <w:basedOn w:val="729"/>
    <w:next w:val="729"/>
    <w:uiPriority w:val="39"/>
    <w:unhideWhenUsed/>
    <w:pPr>
      <w:ind w:left="1701" w:right="0" w:firstLine="0"/>
      <w:spacing w:after="57"/>
    </w:pPr>
  </w:style>
  <w:style w:type="paragraph" w:styleId="187">
    <w:name w:val="toc 8"/>
    <w:basedOn w:val="729"/>
    <w:next w:val="729"/>
    <w:uiPriority w:val="39"/>
    <w:unhideWhenUsed/>
    <w:pPr>
      <w:ind w:left="1984" w:right="0" w:firstLine="0"/>
      <w:spacing w:after="57"/>
    </w:pPr>
  </w:style>
  <w:style w:type="paragraph" w:styleId="188">
    <w:name w:val="toc 9"/>
    <w:basedOn w:val="729"/>
    <w:next w:val="729"/>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9"/>
    <w:next w:val="729"/>
    <w:uiPriority w:val="99"/>
    <w:unhideWhenUsed/>
    <w:pPr>
      <w:spacing w:after="0" w:afterAutospacing="0"/>
    </w:pPr>
  </w:style>
  <w:style w:type="paragraph" w:styleId="729" w:default="1">
    <w:name w:val="Normal"/>
    <w:qFormat/>
    <w:rPr>
      <w:lang w:val="uk-UA"/>
    </w:rPr>
  </w:style>
  <w:style w:type="paragraph" w:styleId="730">
    <w:name w:val="Heading 1"/>
    <w:basedOn w:val="729"/>
    <w:next w:val="729"/>
    <w:link w:val="777"/>
    <w:uiPriority w:val="9"/>
    <w:qFormat/>
    <w:pPr>
      <w:keepLines/>
      <w:keepNext/>
      <w:spacing w:before="240" w:after="0" w:line="240" w:lineRule="auto"/>
      <w:widowControl w:val="off"/>
      <w:outlineLvl w:val="0"/>
    </w:pPr>
    <w:rPr>
      <w:rFonts w:asciiTheme="majorHAnsi" w:hAnsiTheme="majorHAnsi" w:eastAsiaTheme="majorEastAsia" w:cstheme="majorBidi"/>
      <w:color w:val="2e74b5" w:themeColor="accent1" w:themeShade="BF"/>
      <w:sz w:val="32"/>
      <w:szCs w:val="32"/>
      <w:lang w:val="ru-RU" w:eastAsia="ru-RU"/>
    </w:rPr>
  </w:style>
  <w:style w:type="paragraph" w:styleId="731">
    <w:name w:val="Heading 2"/>
    <w:basedOn w:val="729"/>
    <w:link w:val="753"/>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32">
    <w:name w:val="Heading 3"/>
    <w:basedOn w:val="729"/>
    <w:next w:val="729"/>
    <w:link w:val="770"/>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3">
    <w:name w:val="Heading 4"/>
    <w:basedOn w:val="729"/>
    <w:next w:val="729"/>
    <w:link w:val="771"/>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paragraph" w:styleId="734">
    <w:name w:val="Heading 6"/>
    <w:basedOn w:val="729"/>
    <w:next w:val="729"/>
    <w:link w:val="778"/>
    <w:uiPriority w:val="9"/>
    <w:semiHidden/>
    <w:unhideWhenUsed/>
    <w:qFormat/>
    <w:pPr>
      <w:keepLines/>
      <w:keepNext/>
      <w:spacing w:before="40" w:after="0" w:line="240" w:lineRule="auto"/>
      <w:widowControl w:val="off"/>
      <w:outlineLvl w:val="5"/>
    </w:pPr>
    <w:rPr>
      <w:rFonts w:asciiTheme="majorHAnsi" w:hAnsiTheme="majorHAnsi" w:eastAsiaTheme="majorEastAsia" w:cstheme="majorBidi"/>
      <w:color w:val="1f4d78" w:themeColor="accent1" w:themeShade="7F"/>
      <w:sz w:val="20"/>
      <w:szCs w:val="20"/>
      <w:lang w:val="ru-RU" w:eastAsia="ru-RU"/>
    </w:rPr>
  </w:style>
  <w:style w:type="character" w:styleId="735" w:default="1">
    <w:name w:val="Default Paragraph Font"/>
    <w:uiPriority w:val="1"/>
    <w:semiHidden/>
    <w:unhideWhenUsed/>
  </w:style>
  <w:style w:type="table" w:styleId="736" w:default="1">
    <w:name w:val="Normal Table"/>
    <w:uiPriority w:val="99"/>
    <w:semiHidden/>
    <w:unhideWhenUsed/>
    <w:tblPr>
      <w:tblInd w:w="0" w:type="dxa"/>
      <w:tblCellMar>
        <w:left w:w="108" w:type="dxa"/>
        <w:top w:w="0" w:type="dxa"/>
        <w:right w:w="108" w:type="dxa"/>
        <w:bottom w:w="0" w:type="dxa"/>
      </w:tblCellMar>
    </w:tblPr>
  </w:style>
  <w:style w:type="numbering" w:styleId="737" w:default="1">
    <w:name w:val="No List"/>
    <w:uiPriority w:val="99"/>
    <w:semiHidden/>
    <w:unhideWhenUsed/>
  </w:style>
  <w:style w:type="paragraph" w:styleId="738">
    <w:name w:val="List Paragraph"/>
    <w:basedOn w:val="729"/>
    <w:link w:val="739"/>
    <w:uiPriority w:val="34"/>
    <w:qFormat/>
    <w:pPr>
      <w:contextualSpacing/>
      <w:ind w:left="720"/>
      <w:spacing w:after="200" w:line="276" w:lineRule="auto"/>
    </w:pPr>
    <w:rPr>
      <w:rFonts w:ascii="Calibri" w:hAnsi="Calibri" w:eastAsia="Calibri" w:cs="Calibri"/>
      <w:lang w:val="ru-RU" w:eastAsia="zh-CN"/>
    </w:rPr>
  </w:style>
  <w:style w:type="character" w:styleId="739" w:customStyle="1">
    <w:name w:val="Абзац списку Знак"/>
    <w:link w:val="738"/>
    <w:uiPriority w:val="34"/>
    <w:qFormat/>
    <w:rPr>
      <w:rFonts w:ascii="Calibri" w:hAnsi="Calibri" w:eastAsia="Calibri" w:cs="Calibri"/>
      <w:lang w:eastAsia="zh-CN"/>
    </w:rPr>
  </w:style>
  <w:style w:type="table" w:styleId="740">
    <w:name w:val="Table Grid"/>
    <w:basedOn w:val="736"/>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41" w:customStyle="1">
    <w:name w:val="Сетка таблицы2"/>
    <w:basedOn w:val="736"/>
    <w:next w:val="740"/>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2">
    <w:name w:val="Normal (Web)"/>
    <w:basedOn w:val="729"/>
    <w:link w:val="749"/>
    <w:unhideWhenUsed/>
    <w:qFormat/>
    <w:rPr>
      <w:rFonts w:ascii="Times New Roman" w:hAnsi="Times New Roman" w:cs="Times New Roman"/>
      <w:sz w:val="24"/>
      <w:szCs w:val="24"/>
    </w:rPr>
  </w:style>
  <w:style w:type="table" w:styleId="743" w:customStyle="1">
    <w:name w:val="Сетка таблицы1"/>
    <w:basedOn w:val="736"/>
    <w:next w:val="740"/>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4">
    <w:name w:val="Footer"/>
    <w:basedOn w:val="729"/>
    <w:link w:val="745"/>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5" w:customStyle="1">
    <w:name w:val="Нижній колонтитул Знак"/>
    <w:basedOn w:val="735"/>
    <w:link w:val="744"/>
    <w:uiPriority w:val="99"/>
    <w:rPr>
      <w:rFonts w:ascii="Calibri" w:hAnsi="Calibri" w:eastAsia="Calibri" w:cs="Calibri"/>
      <w:lang w:eastAsia="zh-CN"/>
    </w:rPr>
  </w:style>
  <w:style w:type="paragraph" w:styleId="746"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7">
    <w:name w:val="Hyperlink"/>
    <w:basedOn w:val="735"/>
    <w:uiPriority w:val="99"/>
    <w:unhideWhenUsed/>
    <w:rPr>
      <w:color w:val="0563c1" w:themeColor="hyperlink"/>
      <w:u w:val="single"/>
    </w:rPr>
  </w:style>
  <w:style w:type="character" w:styleId="748" w:customStyle="1">
    <w:name w:val="xfm_93972720"/>
    <w:basedOn w:val="735"/>
  </w:style>
  <w:style w:type="character" w:styleId="749" w:customStyle="1">
    <w:name w:val="Звичайний (веб) Знак"/>
    <w:link w:val="742"/>
    <w:qFormat/>
    <w:rPr>
      <w:rFonts w:ascii="Times New Roman" w:hAnsi="Times New Roman" w:cs="Times New Roman"/>
      <w:sz w:val="24"/>
      <w:szCs w:val="24"/>
      <w:lang w:val="uk-UA"/>
    </w:rPr>
  </w:style>
  <w:style w:type="paragraph" w:styleId="750">
    <w:name w:val="Body Text 2"/>
    <w:basedOn w:val="729"/>
    <w:link w:val="751"/>
    <w:pPr>
      <w:spacing w:after="0" w:line="240" w:lineRule="auto"/>
    </w:pPr>
    <w:rPr>
      <w:rFonts w:ascii="Times New Roman" w:hAnsi="Times New Roman" w:eastAsia="Times New Roman" w:cs="Times New Roman"/>
      <w:sz w:val="28"/>
      <w:szCs w:val="20"/>
      <w:lang w:val="ru-RU" w:eastAsia="ru-RU"/>
    </w:rPr>
  </w:style>
  <w:style w:type="character" w:styleId="751" w:customStyle="1">
    <w:name w:val="Основний текст 2 Знак"/>
    <w:basedOn w:val="735"/>
    <w:link w:val="750"/>
    <w:rPr>
      <w:rFonts w:ascii="Times New Roman" w:hAnsi="Times New Roman" w:eastAsia="Times New Roman" w:cs="Times New Roman"/>
      <w:sz w:val="28"/>
      <w:szCs w:val="20"/>
      <w:lang w:eastAsia="ru-RU"/>
    </w:rPr>
  </w:style>
  <w:style w:type="paragraph" w:styleId="752"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53" w:customStyle="1">
    <w:name w:val="Заголовок 2 Знак"/>
    <w:basedOn w:val="735"/>
    <w:link w:val="731"/>
    <w:uiPriority w:val="9"/>
    <w:rPr>
      <w:rFonts w:ascii="Times New Roman" w:hAnsi="Times New Roman" w:eastAsia="Times New Roman" w:cs="Times New Roman"/>
      <w:b/>
      <w:bCs/>
      <w:sz w:val="36"/>
      <w:szCs w:val="36"/>
      <w:lang w:val="uk-UA" w:eastAsia="uk-UA"/>
    </w:rPr>
  </w:style>
  <w:style w:type="paragraph" w:styleId="754">
    <w:name w:val="No Spacing"/>
    <w:link w:val="755"/>
    <w:uiPriority w:val="1"/>
    <w:qFormat/>
    <w:pPr>
      <w:spacing w:after="0" w:line="240" w:lineRule="auto"/>
    </w:pPr>
    <w:rPr>
      <w:rFonts w:ascii="Calibri" w:hAnsi="Calibri" w:eastAsia="Calibri" w:cs="Times New Roman"/>
      <w:lang w:val="uk-UA"/>
    </w:rPr>
  </w:style>
  <w:style w:type="character" w:styleId="755" w:customStyle="1">
    <w:name w:val="Без інтервалів Знак"/>
    <w:basedOn w:val="735"/>
    <w:link w:val="754"/>
    <w:uiPriority w:val="1"/>
    <w:rPr>
      <w:rFonts w:ascii="Calibri" w:hAnsi="Calibri" w:eastAsia="Calibri" w:cs="Times New Roman"/>
      <w:lang w:val="uk-UA"/>
    </w:rPr>
  </w:style>
  <w:style w:type="character" w:styleId="756" w:customStyle="1">
    <w:name w:val="Другое_"/>
    <w:basedOn w:val="735"/>
    <w:link w:val="757"/>
    <w:rPr>
      <w:rFonts w:ascii="Calibri" w:hAnsi="Calibri" w:eastAsia="Calibri" w:cs="Calibri"/>
      <w:sz w:val="20"/>
      <w:szCs w:val="20"/>
    </w:rPr>
  </w:style>
  <w:style w:type="paragraph" w:styleId="757" w:customStyle="1">
    <w:name w:val="Другое"/>
    <w:basedOn w:val="729"/>
    <w:link w:val="756"/>
    <w:qFormat/>
    <w:pPr>
      <w:spacing w:after="0" w:line="240" w:lineRule="auto"/>
      <w:widowControl w:val="off"/>
    </w:pPr>
    <w:rPr>
      <w:rFonts w:ascii="Calibri" w:hAnsi="Calibri" w:eastAsia="Calibri" w:cs="Calibri"/>
      <w:sz w:val="20"/>
      <w:szCs w:val="20"/>
      <w:lang w:val="ru-RU"/>
    </w:rPr>
  </w:style>
  <w:style w:type="paragraph" w:styleId="758"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9" w:customStyle="1">
    <w:name w:val="Основной текст (2)_"/>
    <w:basedOn w:val="735"/>
    <w:link w:val="760"/>
    <w:rPr>
      <w:rFonts w:eastAsia="Times New Roman" w:cs="Times New Roman"/>
      <w:shd w:val="clear" w:color="auto" w:fill="ffffff"/>
    </w:rPr>
  </w:style>
  <w:style w:type="paragraph" w:styleId="760" w:customStyle="1">
    <w:name w:val="Основной текст (2)"/>
    <w:basedOn w:val="729"/>
    <w:link w:val="759"/>
    <w:pPr>
      <w:ind w:hanging="700"/>
      <w:jc w:val="both"/>
      <w:spacing w:before="240" w:after="480" w:line="0" w:lineRule="atLeast"/>
      <w:shd w:val="clear" w:color="auto" w:fill="ffffff"/>
      <w:widowControl w:val="off"/>
    </w:pPr>
    <w:rPr>
      <w:rFonts w:eastAsia="Times New Roman" w:cs="Times New Roman"/>
      <w:lang w:val="ru-RU"/>
    </w:rPr>
  </w:style>
  <w:style w:type="character" w:styleId="761" w:customStyle="1">
    <w:name w:val="Текст у виносці Знак"/>
    <w:basedOn w:val="735"/>
    <w:link w:val="762"/>
    <w:uiPriority w:val="99"/>
    <w:semiHidden/>
    <w:rPr>
      <w:rFonts w:ascii="Segoe UI" w:hAnsi="Segoe UI" w:eastAsia="Times New Roman" w:cs="Segoe UI"/>
      <w:sz w:val="18"/>
      <w:szCs w:val="18"/>
      <w:lang w:eastAsia="ru-RU"/>
    </w:rPr>
  </w:style>
  <w:style w:type="paragraph" w:styleId="762">
    <w:name w:val="Balloon Text"/>
    <w:basedOn w:val="729"/>
    <w:link w:val="761"/>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63" w:customStyle="1">
    <w:name w:val="Текст у виносці Знак1"/>
    <w:basedOn w:val="735"/>
    <w:uiPriority w:val="99"/>
    <w:semiHidden/>
    <w:rPr>
      <w:rFonts w:ascii="Segoe UI" w:hAnsi="Segoe UI" w:cs="Segoe UI"/>
      <w:sz w:val="18"/>
      <w:szCs w:val="18"/>
      <w:lang w:val="uk-UA"/>
    </w:rPr>
  </w:style>
  <w:style w:type="character" w:styleId="764" w:customStyle="1">
    <w:name w:val="T23"/>
    <w:rPr>
      <w:rFonts w:hint="default" w:ascii="Times New Roman" w:hAnsi="Times New Roman" w:eastAsia="Times New Roman1" w:cs="Times New Roman"/>
    </w:rPr>
  </w:style>
  <w:style w:type="paragraph" w:styleId="765" w:customStyle="1">
    <w:name w:val="Абзац списку1"/>
    <w:basedOn w:val="729"/>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6" w:customStyle="1">
    <w:name w:val="markedcontent"/>
    <w:basedOn w:val="735"/>
  </w:style>
  <w:style w:type="paragraph" w:styleId="767">
    <w:name w:val="annotation text"/>
    <w:basedOn w:val="729"/>
    <w:link w:val="768"/>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8" w:customStyle="1">
    <w:name w:val="Текст примітки Знак"/>
    <w:basedOn w:val="735"/>
    <w:link w:val="767"/>
    <w:uiPriority w:val="99"/>
    <w:rPr>
      <w:rFonts w:ascii="Times New Roman" w:hAnsi="Times New Roman" w:eastAsia="Times New Roman" w:cs="Times New Roman"/>
      <w:sz w:val="20"/>
      <w:szCs w:val="20"/>
      <w:lang w:eastAsia="ru-RU"/>
    </w:rPr>
  </w:style>
  <w:style w:type="character" w:styleId="769" w:customStyle="1">
    <w:name w:val="docdata"/>
    <w:basedOn w:val="735"/>
  </w:style>
  <w:style w:type="character" w:styleId="770" w:customStyle="1">
    <w:name w:val="Заголовок 3 Знак"/>
    <w:basedOn w:val="735"/>
    <w:link w:val="732"/>
    <w:uiPriority w:val="9"/>
    <w:semiHidden/>
    <w:rPr>
      <w:rFonts w:asciiTheme="majorHAnsi" w:hAnsiTheme="majorHAnsi" w:eastAsiaTheme="majorEastAsia" w:cstheme="majorBidi"/>
      <w:color w:val="1f4d78" w:themeColor="accent1" w:themeShade="7F"/>
      <w:sz w:val="24"/>
      <w:szCs w:val="24"/>
      <w:lang w:val="uk-UA"/>
    </w:rPr>
  </w:style>
  <w:style w:type="character" w:styleId="771" w:customStyle="1">
    <w:name w:val="Заголовок 4 Знак"/>
    <w:basedOn w:val="735"/>
    <w:link w:val="733"/>
    <w:uiPriority w:val="9"/>
    <w:semiHidden/>
    <w:rPr>
      <w:rFonts w:asciiTheme="majorHAnsi" w:hAnsiTheme="majorHAnsi" w:eastAsiaTheme="majorEastAsia" w:cstheme="majorBidi"/>
      <w:i/>
      <w:iCs/>
      <w:color w:val="2e74b5" w:themeColor="accent1" w:themeShade="BF"/>
      <w:lang w:val="uk-UA"/>
    </w:rPr>
  </w:style>
  <w:style w:type="paragraph" w:styleId="772" w:customStyle="1">
    <w:name w:val="name-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73" w:customStyle="1">
    <w:name w:val="cont-spec"/>
    <w:basedOn w:val="729"/>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4">
    <w:name w:val="Strong"/>
    <w:basedOn w:val="735"/>
    <w:uiPriority w:val="22"/>
    <w:qFormat/>
    <w:rPr>
      <w:b/>
      <w:bCs/>
    </w:rPr>
  </w:style>
  <w:style w:type="paragraph" w:styleId="775" w:customStyle="1">
    <w:name w:val="rvps6"/>
    <w:basedOn w:val="729"/>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6"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character" w:styleId="777" w:customStyle="1">
    <w:name w:val="Заголовок 1 Знак"/>
    <w:basedOn w:val="735"/>
    <w:link w:val="730"/>
    <w:uiPriority w:val="9"/>
    <w:rPr>
      <w:rFonts w:asciiTheme="majorHAnsi" w:hAnsiTheme="majorHAnsi" w:eastAsiaTheme="majorEastAsia" w:cstheme="majorBidi"/>
      <w:color w:val="2e74b5" w:themeColor="accent1" w:themeShade="BF"/>
      <w:sz w:val="32"/>
      <w:szCs w:val="32"/>
      <w:lang w:eastAsia="ru-RU"/>
    </w:rPr>
  </w:style>
  <w:style w:type="character" w:styleId="778" w:customStyle="1">
    <w:name w:val="Заголовок 6 Знак"/>
    <w:basedOn w:val="735"/>
    <w:link w:val="734"/>
    <w:uiPriority w:val="9"/>
    <w:semiHidden/>
    <w:rPr>
      <w:rFonts w:asciiTheme="majorHAnsi" w:hAnsiTheme="majorHAnsi" w:eastAsiaTheme="majorEastAsia" w:cstheme="majorBidi"/>
      <w:color w:val="1f4d78" w:themeColor="accent1" w:themeShade="7F"/>
      <w:sz w:val="20"/>
      <w:szCs w:val="20"/>
      <w:lang w:eastAsia="ru-RU"/>
    </w:rPr>
  </w:style>
  <w:style w:type="character" w:styleId="779" w:customStyle="1">
    <w:name w:val="rynqvb"/>
    <w:basedOn w:val="735"/>
  </w:style>
  <w:style w:type="character" w:styleId="780">
    <w:name w:val="Emphasis"/>
    <w:basedOn w:val="735"/>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zakon.rada.gov.ua/laws/show/80/94-%D0%B2%D1%80"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163</cp:revision>
  <dcterms:created xsi:type="dcterms:W3CDTF">2022-11-01T12:47:00Z</dcterms:created>
  <dcterms:modified xsi:type="dcterms:W3CDTF">2024-06-14T18:56:48Z</dcterms:modified>
</cp:coreProperties>
</file>