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10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 xml:space="preserve">Вода питна за кодом CPV за ДК 021:2015: 41110000-3  Питна вода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9052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Вода питна за кодом CPV за ДК 021:2015: 41110000-3  Питна вода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ІНФОРМАЦІЯ ПРО НЕОБХІДНІ ТЕХНІЧНІ, ЯКІСНІ ТА КІЛЬКІСНІ ХАРАКТЕРИСТИКИ ПРЕДМЕТА ЗАКУПІВЛІ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p>
      <w:pPr>
        <w:pStyle w:val="718"/>
        <w:spacing w:after="0" w:line="240" w:lineRule="auto"/>
        <w:tabs>
          <w:tab w:val="left" w:pos="2835" w:leader="none"/>
        </w:tabs>
        <w:rPr>
          <w:b/>
        </w:rPr>
      </w:pPr>
      <w:r>
        <w:rPr>
          <w:b/>
          <w:bCs/>
          <w:color w:val="000000"/>
          <w:u w:val="single"/>
          <w:lang w:eastAsia="uk-UA"/>
        </w:rPr>
        <w:t xml:space="preserve">    Вода питна за кодом CPV за ДК 021:2015: 41110000-3  Питна вода</w:t>
      </w:r>
      <w:r/>
    </w:p>
    <w:p>
      <w:pPr>
        <w:pStyle w:val="746"/>
        <w:ind w:right="-173"/>
        <w:jc w:val="center"/>
        <w:rPr>
          <w:b/>
          <w:color w:val="000000"/>
          <w:szCs w:val="24"/>
        </w:rPr>
      </w:pPr>
      <w:r>
        <w:rPr>
          <w:b/>
          <w:szCs w:val="24"/>
        </w:rPr>
        <w:t xml:space="preserve"> </w:t>
      </w:r>
      <w:r/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uk-UA"/>
              </w:rPr>
              <w:t xml:space="preserve">№ п/п</w:t>
            </w:r>
            <w:r/>
          </w:p>
        </w:tc>
        <w:tc>
          <w:tcPr>
            <w:shd w:val="clear" w:color="auto" w:fill="auto"/>
            <w:tcW w:w="5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uk-UA"/>
              </w:rPr>
              <w:t xml:space="preserve">Назва системи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uk-UA"/>
              </w:rPr>
              <w:t xml:space="preserve">Одиниця виміру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uk-UA"/>
              </w:rPr>
              <w:t xml:space="preserve">Кількість</w:t>
            </w:r>
            <w:r/>
          </w:p>
        </w:tc>
      </w:tr>
      <w:tr>
        <w:trPr/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W w:w="5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uk-UA"/>
              </w:rPr>
              <w:t xml:space="preserve">Вода питна (1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uk-UA"/>
              </w:rPr>
              <w:t xml:space="preserve">бутиль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uk-UA"/>
              </w:rPr>
              <w:t xml:space="preserve"> 18,9 л)</w:t>
            </w:r>
            <w:r/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uk-UA"/>
              </w:rPr>
              <w:t xml:space="preserve">шт.</w:t>
            </w:r>
            <w:r/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uk-UA"/>
              </w:rPr>
              <w:t xml:space="preserve">500</w:t>
            </w:r>
            <w:r/>
          </w:p>
        </w:tc>
      </w:tr>
    </w:tbl>
    <w:p>
      <w:pPr>
        <w:ind w:left="1416" w:right="-1" w:firstLine="708"/>
        <w:jc w:val="righ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1. Питна вода повинна бути фасована не газована, виготовлена з води артезіанських свердловин.</w:t>
      </w:r>
      <w:r/>
    </w:p>
    <w:p>
      <w:pPr>
        <w:ind w:left="1416" w:right="-1" w:firstLine="70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Вода питна оброблена негазована повинна:</w:t>
      </w:r>
      <w:r/>
    </w:p>
    <w:p>
      <w:pPr>
        <w:numPr>
          <w:ilvl w:val="0"/>
          <w:numId w:val="3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відповідати вимогам державних стандартів, Закону України від 10.01.2002 «2918-ІІІ «Про питну воду та питне водопостачання» та Державним Санітарним Правилам і нормам встановленим медичним критеріям безпеки / показникам: </w:t>
      </w:r>
      <w:r>
        <w:rPr>
          <w:rFonts w:ascii="Times New Roman" w:hAnsi="Times New Roman" w:cs="Times New Roman"/>
          <w:sz w:val="24"/>
          <w:szCs w:val="24"/>
        </w:rPr>
        <w:t xml:space="preserve">ДСанПіН</w:t>
      </w:r>
      <w:r>
        <w:rPr>
          <w:rFonts w:ascii="Times New Roman" w:hAnsi="Times New Roman" w:cs="Times New Roman"/>
          <w:sz w:val="24"/>
          <w:szCs w:val="24"/>
        </w:rPr>
        <w:t xml:space="preserve"> 2.2.4-171-10 «Гігієнічні вимоги до води питної, призначеної для споживання людиною»,</w:t>
      </w:r>
      <w:r/>
    </w:p>
    <w:p>
      <w:pPr>
        <w:numPr>
          <w:ilvl w:val="0"/>
          <w:numId w:val="3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мати Сертифікат відповідності;</w:t>
      </w:r>
      <w:r/>
    </w:p>
    <w:p>
      <w:pPr>
        <w:numPr>
          <w:ilvl w:val="0"/>
          <w:numId w:val="3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бути захищеною від біологічного, хімічного та радіаційного забруднення,</w:t>
      </w:r>
      <w:r/>
    </w:p>
    <w:p>
      <w:pPr>
        <w:numPr>
          <w:ilvl w:val="0"/>
          <w:numId w:val="3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бути безпечною в епідемічному відношенні, мати нешкідливий хімічний склад,</w:t>
      </w:r>
      <w:r/>
    </w:p>
    <w:p>
      <w:pPr>
        <w:numPr>
          <w:ilvl w:val="0"/>
          <w:numId w:val="3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бути прозорою, без сторонніх включень, запаху, смаку, поверхневої плівки і осаду,</w:t>
      </w:r>
      <w:r/>
    </w:p>
    <w:p>
      <w:pPr>
        <w:numPr>
          <w:ilvl w:val="0"/>
          <w:numId w:val="3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бути розфасована у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полікарбонатну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тару місткістю 18,9 л, яка є тарою багаторазового використання (бутлі в яких здійснюється постачання води, є зворотною тарою і власністю Постачальника, вони передаються Замовнику в тимчасове безкоштовне користування та підлягають поверненню).</w:t>
      </w:r>
      <w:r/>
    </w:p>
    <w:p>
      <w:pPr>
        <w:numPr>
          <w:ilvl w:val="0"/>
          <w:numId w:val="3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містити добавки і </w:t>
      </w:r>
      <w:r>
        <w:rPr>
          <w:rFonts w:ascii="Times New Roman" w:hAnsi="Times New Roman" w:cs="Times New Roman"/>
          <w:sz w:val="24"/>
          <w:szCs w:val="24"/>
        </w:rPr>
        <w:t xml:space="preserve">підсолоджувачі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left="1416" w:right="-1" w:firstLine="708"/>
        <w:jc w:val="righ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Показники фізіологічної повноцінності мінерального складу питної води:</w:t>
      </w:r>
      <w:r/>
    </w:p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4824"/>
        <w:gridCol w:w="4644"/>
      </w:tblGrid>
      <w:tr>
        <w:trPr/>
        <w:tc>
          <w:tcPr>
            <w:shd w:val="clear" w:color="auto" w:fill="auto"/>
            <w:tcW w:w="4824" w:type="dxa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Сухий залишок – 175,0 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</w:t>
            </w:r>
            <w:r/>
          </w:p>
          <w:p>
            <w:pPr>
              <w:numPr>
                <w:ilvl w:val="0"/>
                <w:numId w:val="33"/>
              </w:num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жорсткість – 2,0 ммоль/дм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</w:t>
            </w:r>
            <w:r/>
          </w:p>
          <w:p>
            <w:pPr>
              <w:numPr>
                <w:ilvl w:val="0"/>
                <w:numId w:val="33"/>
              </w:num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лужність – 2,0 ммоль/дм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</w:t>
            </w:r>
            <w:r/>
          </w:p>
          <w:p>
            <w:pPr>
              <w:numPr>
                <w:ilvl w:val="0"/>
                <w:numId w:val="33"/>
              </w:num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Фториди -0,5 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</w:t>
            </w:r>
            <w:r/>
          </w:p>
          <w:p>
            <w:pPr>
              <w:numPr>
                <w:ilvl w:val="0"/>
                <w:numId w:val="33"/>
              </w:num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Магній – 6,0 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</w:t>
            </w:r>
            <w:r/>
          </w:p>
          <w:p>
            <w:pPr>
              <w:numPr>
                <w:ilvl w:val="0"/>
                <w:numId w:val="33"/>
              </w:num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Кальцій -30,0 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</w:t>
            </w:r>
            <w:r/>
          </w:p>
          <w:p>
            <w:pPr>
              <w:numPr>
                <w:ilvl w:val="0"/>
                <w:numId w:val="33"/>
              </w:num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Натрій – 18,0 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</w:t>
            </w:r>
            <w:r/>
          </w:p>
          <w:p>
            <w:pPr>
              <w:numPr>
                <w:ilvl w:val="0"/>
                <w:numId w:val="33"/>
              </w:num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Калій – 4,5 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</w:t>
            </w:r>
            <w:r/>
          </w:p>
        </w:tc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3. Зберігання готової продукції має здійснюватися в спеціальних приміщеннях при температурі від +5 0С до 20 0С і відносній вологості повітря не більше 75%, захищених від попадання прямих сонячних променів.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Термін придатності до споживання від 60 діб до 180 діб.</w:t>
      </w:r>
      <w:r/>
    </w:p>
    <w:p>
      <w:pPr>
        <w:ind w:right="-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4. Кожен бутель повинен мати одноразову пробку та захисний ковпачок. Да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ти виробництва та строк придатності мають бути зазначено на тарі або ковпачку. На етикетці питної води фасованої, яка повинна бути на кожному бутлі, повинно бути зазначено: "Вода питна негазована", її назва, вид, фактичні значення показників фізіологічної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повноцінності мінерального складу питної води, умови зберігання, найменування, місцезнаходження та телефони виробника і місце її виготовлення, вид вихідної води, номери свердловин, назва нормативного документа, який визначає вимоги щодо якості питної води.</w:t>
      </w:r>
      <w:r/>
    </w:p>
    <w:p>
      <w:pPr>
        <w:ind w:left="1416" w:right="-1" w:firstLine="708"/>
        <w:jc w:val="righ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Договору до моменту його повного завершення.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Характеристики товару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повинні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відповідати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вимогам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або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бути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кращими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тих,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які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наведені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таблиці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Пропозиція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Учасника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має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містити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чітке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зазначення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моделі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та артикулу для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можливості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перевірки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запропонованого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товару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технічним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вимогам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Замовника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. У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разі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відсутності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зазначених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вимог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Замовник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залишає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право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відхилити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пропозицію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запропонованого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. Товар повинен бути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новим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, з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повною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комплектацією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. З товаром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поставляються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технічний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паспорт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чи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інструкція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з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експлуатації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українською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мовою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гарантійні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талони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набір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драйверів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тощо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передбачених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для товару. Упаковка, в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якій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постачається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товар, повинна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відповідати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загальноприйнятим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стандартам та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технічним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умовам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забезпечувати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зберігання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товару, та/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або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його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неушкодженість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при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транспортуванні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Технічні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та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якісні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характеристики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повинні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відповідати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вимогам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та стандартам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відповідних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діючих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нормативних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документів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. Доставка товару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здійснюється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за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рахунок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та силами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Постачальника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, у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терміни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попередньо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узгоджені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, і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визначається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в кожному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випадку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замовленням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Замовника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Приймання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товарів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проводиться при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наявності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товаро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супроводжуючих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документів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видаткової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накладної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та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копії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документів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що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підтверджують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якість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товарів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7. 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Гарантійні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зобов’язання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всіх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найменувань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повинні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 бути не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менше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строків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визначених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технічними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умовами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виробника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даних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товарів</w:t>
      </w:r>
      <w:r>
        <w:rPr>
          <w:rFonts w:ascii="Times New Roman" w:hAnsi="Times New Roman" w:eastAsia="Calibri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Учасник повинен забезпечити обслуговування (підтримку) протягом гарантійного терміну. 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 xml:space="preserve">Таблиця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 xml:space="preserve">відповідності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val="ru-RU"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997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№ з/п</w:t>
            </w:r>
            <w:r/>
          </w:p>
        </w:tc>
        <w:tc>
          <w:tcPr>
            <w:tcW w:w="2928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Характеристика</w:t>
            </w:r>
            <w:r/>
          </w:p>
        </w:tc>
        <w:tc>
          <w:tcPr>
            <w:tcW w:w="3163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Опис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технічних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вимог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які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визначені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Замовником</w:t>
            </w:r>
            <w:r/>
          </w:p>
        </w:tc>
        <w:tc>
          <w:tcPr>
            <w:tcW w:w="2943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Опис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технічних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вимог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які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пропонуються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/>
      <w:bookmarkStart w:id="0" w:name="_Hlk134167948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Товар повинен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відповідати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вимогам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- Закону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України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від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14.08.2014р. № 1644-VІІ «Про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санкції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- Указу Президента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України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від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15.05.2017р. № 133/2017 «Про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рішення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Ради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національної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bookmarkStart w:id="1" w:name="_Hlk134167935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безпеки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і оборони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України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від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28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квітня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2017 року «Про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застосування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персональних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спеціальних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економічних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та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інших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обмежувальних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заходів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санкцій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- Постанови КМУ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від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16.12.2015р. № 1035 «Про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обмеження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поставок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окремих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товарів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(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робіт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послуг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) з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тимчасово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окупованої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території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на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іншу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територію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України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та/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або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з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іншої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території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України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на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тимчасово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окуповану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територію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- п/п. 4 п.2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частини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першої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Розпорядження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Кабінету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Міністрів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України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від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11.09.2014 р. №829-р «Про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пропозиції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щодо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застосування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персональних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спеціальних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економічних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та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інших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обмежувальних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заходів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»,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згідно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з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якими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заборонено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здійснення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державних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товарів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робіт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і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послуг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у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юридичних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осіб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-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резидентів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Російської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Федерації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державної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форми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власності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та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юридичних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осіб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частка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статутного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капіталу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яких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перебуває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у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власності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Російської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Федерації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а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також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у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інших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суб’єктів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господарювання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що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здійснюють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продаж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товарів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робіт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і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послуг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походженням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з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Російської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Федерації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крім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випадків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коли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заміщення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таких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предметів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закупівлі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іншими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неможливе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що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підтверджено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Міністерством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економічного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розвитку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і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торгівлі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У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разі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якщо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товар не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відповідає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технічним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вимогам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Замовника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або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Учасник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не в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змозі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виконати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умови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поставки,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які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визначені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Замовником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Пропозиція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відхиляється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</w:t>
      </w:r>
      <w:bookmarkEnd w:id="0"/>
      <w:bookmarkEnd w:id="1"/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разі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якщо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цій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тендерній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документації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(у тому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числі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технічній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специфікації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міститься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посилання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- на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стандартні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характеристики,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технічні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регламенти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та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умови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вимоги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умовні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позначення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та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термінологію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пов’язані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 товарами, роботами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чи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послугами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що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закуповуються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передбачені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існуючими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міжнародними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європейськими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стандартами,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іншими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спільними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технічними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європейськими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нормами,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іншими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технічними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еталонними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системами,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визнаними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європейськими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органами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зі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стандартизації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або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національними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стандартами, нормами та правилами –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вважати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що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міститься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вираз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або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еквівалент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- на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конкретні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марку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чи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виробника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або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конкретний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процес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що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характеризує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продукт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чи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послугу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певного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суб’єкта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господарювання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чи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торгові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марки,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патенти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типи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або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конкретне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місце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походження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чи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спосіб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виробництва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вважати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що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міститься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вираз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або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еквівалент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У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випадку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надання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учасником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еквіваленту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він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має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надати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порівняльну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таблицю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запропонованих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товарів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з товарами,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які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вимагаються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Замовником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Якщо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Учасник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пропонує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товар,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технічні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характеристики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якого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відрізняються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від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наведених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вище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він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обов’язково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надати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порівняльну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таблицю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щодо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відповідності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технічних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характеристик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запропонованого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товару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наведеним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Замовником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характеристикам. Товар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має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бути з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технічними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та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якісними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характеристиками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рівноцінними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або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покращеними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ніж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визначені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Замовником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.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37 500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тридцять сім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тисяч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п’ятсот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очікуваної вартості предмета закупівлі затвердженої Наказом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7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•"/>
      <w:lvlJc w:val="left"/>
      <w:pPr>
        <w:ind w:left="1498" w:hanging="360"/>
      </w:pPr>
      <w:rPr>
        <w:rFonts w:hint="default" w:ascii="Times New Roman" w:hAnsi="Times New Roman" w:eastAsia="Calibri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21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3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5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7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9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1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38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20"/>
  </w:num>
  <w:num w:numId="5">
    <w:abstractNumId w:val="5"/>
  </w:num>
  <w:num w:numId="6">
    <w:abstractNumId w:val="28"/>
  </w:num>
  <w:num w:numId="7">
    <w:abstractNumId w:val="9"/>
  </w:num>
  <w:num w:numId="8">
    <w:abstractNumId w:val="30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9"/>
  </w:num>
  <w:num w:numId="17">
    <w:abstractNumId w:val="0"/>
  </w:num>
  <w:num w:numId="18">
    <w:abstractNumId w:val="31"/>
  </w:num>
  <w:num w:numId="19">
    <w:abstractNumId w:val="2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2"/>
  </w:num>
  <w:num w:numId="25">
    <w:abstractNumId w:val="15"/>
  </w:num>
  <w:num w:numId="26">
    <w:abstractNumId w:val="18"/>
  </w:num>
  <w:num w:numId="27">
    <w:abstractNumId w:val="24"/>
  </w:num>
  <w:num w:numId="28">
    <w:abstractNumId w:val="16"/>
  </w:num>
  <w:num w:numId="29">
    <w:abstractNumId w:val="25"/>
  </w:num>
  <w:num w:numId="30">
    <w:abstractNumId w:val="13"/>
  </w:num>
  <w:num w:numId="31">
    <w:abstractNumId w:val="2"/>
  </w:num>
  <w:num w:numId="32">
    <w:abstractNumId w:val="23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9"/>
    <w:next w:val="709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1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11"/>
    <w:link w:val="710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9"/>
    <w:next w:val="709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9"/>
    <w:next w:val="70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9"/>
    <w:next w:val="70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9"/>
    <w:next w:val="70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9"/>
    <w:next w:val="70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9"/>
    <w:next w:val="70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9"/>
    <w:next w:val="70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09"/>
    <w:next w:val="70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1"/>
    <w:link w:val="33"/>
    <w:uiPriority w:val="10"/>
    <w:rPr>
      <w:sz w:val="48"/>
      <w:szCs w:val="48"/>
    </w:rPr>
  </w:style>
  <w:style w:type="paragraph" w:styleId="35">
    <w:name w:val="Subtitle"/>
    <w:basedOn w:val="709"/>
    <w:next w:val="70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1"/>
    <w:link w:val="35"/>
    <w:uiPriority w:val="11"/>
    <w:rPr>
      <w:sz w:val="24"/>
      <w:szCs w:val="24"/>
    </w:rPr>
  </w:style>
  <w:style w:type="paragraph" w:styleId="37">
    <w:name w:val="Quote"/>
    <w:basedOn w:val="709"/>
    <w:next w:val="70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9"/>
    <w:next w:val="70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09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11"/>
    <w:link w:val="41"/>
    <w:uiPriority w:val="99"/>
  </w:style>
  <w:style w:type="character" w:styleId="44">
    <w:name w:val="Footer Char"/>
    <w:basedOn w:val="711"/>
    <w:link w:val="720"/>
    <w:uiPriority w:val="99"/>
  </w:style>
  <w:style w:type="paragraph" w:styleId="45">
    <w:name w:val="Caption"/>
    <w:basedOn w:val="709"/>
    <w:next w:val="7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0"/>
    <w:uiPriority w:val="99"/>
  </w:style>
  <w:style w:type="table" w:styleId="48">
    <w:name w:val="Table Grid Light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0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1"/>
    <w:uiPriority w:val="99"/>
    <w:unhideWhenUsed/>
    <w:rPr>
      <w:vertAlign w:val="superscript"/>
    </w:rPr>
  </w:style>
  <w:style w:type="paragraph" w:styleId="177">
    <w:name w:val="endnote text"/>
    <w:basedOn w:val="70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1"/>
    <w:uiPriority w:val="99"/>
    <w:semiHidden/>
    <w:unhideWhenUsed/>
    <w:rPr>
      <w:vertAlign w:val="superscript"/>
    </w:rPr>
  </w:style>
  <w:style w:type="paragraph" w:styleId="180">
    <w:name w:val="toc 1"/>
    <w:basedOn w:val="709"/>
    <w:next w:val="70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9"/>
    <w:next w:val="70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9"/>
    <w:next w:val="70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9"/>
    <w:next w:val="70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9"/>
    <w:next w:val="70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9"/>
    <w:next w:val="70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9"/>
    <w:next w:val="70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9"/>
    <w:next w:val="70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9"/>
    <w:next w:val="70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9"/>
    <w:next w:val="709"/>
    <w:uiPriority w:val="99"/>
    <w:unhideWhenUsed/>
    <w:pPr>
      <w:spacing w:after="0" w:afterAutospacing="0"/>
    </w:pPr>
  </w:style>
  <w:style w:type="paragraph" w:styleId="709" w:default="1">
    <w:name w:val="Normal"/>
    <w:qFormat/>
    <w:rPr>
      <w:lang w:val="uk-UA"/>
    </w:rPr>
  </w:style>
  <w:style w:type="paragraph" w:styleId="710">
    <w:name w:val="Heading 2"/>
    <w:basedOn w:val="709"/>
    <w:link w:val="729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paragraph" w:styleId="714">
    <w:name w:val="List Paragraph"/>
    <w:basedOn w:val="709"/>
    <w:link w:val="71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5" w:customStyle="1">
    <w:name w:val="Абзац списку Знак"/>
    <w:link w:val="714"/>
    <w:uiPriority w:val="34"/>
    <w:qFormat/>
    <w:rPr>
      <w:rFonts w:ascii="Calibri" w:hAnsi="Calibri" w:eastAsia="Calibri" w:cs="Calibri"/>
      <w:lang w:eastAsia="zh-CN"/>
    </w:rPr>
  </w:style>
  <w:style w:type="table" w:styleId="716">
    <w:name w:val="Table Grid"/>
    <w:basedOn w:val="71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7" w:customStyle="1">
    <w:name w:val="Сетка таблицы2"/>
    <w:basedOn w:val="712"/>
    <w:next w:val="716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8">
    <w:name w:val="Normal (Web)"/>
    <w:basedOn w:val="709"/>
    <w:link w:val="725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719" w:customStyle="1">
    <w:name w:val="Сетка таблицы1"/>
    <w:basedOn w:val="712"/>
    <w:next w:val="716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0">
    <w:name w:val="Footer"/>
    <w:basedOn w:val="709"/>
    <w:link w:val="721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21" w:customStyle="1">
    <w:name w:val="Нижній колонтитул Знак"/>
    <w:basedOn w:val="711"/>
    <w:link w:val="720"/>
    <w:uiPriority w:val="99"/>
    <w:rPr>
      <w:rFonts w:ascii="Calibri" w:hAnsi="Calibri" w:eastAsia="Calibri" w:cs="Calibri"/>
      <w:lang w:eastAsia="zh-CN"/>
    </w:rPr>
  </w:style>
  <w:style w:type="paragraph" w:styleId="722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23">
    <w:name w:val="Hyperlink"/>
    <w:basedOn w:val="711"/>
    <w:uiPriority w:val="99"/>
    <w:unhideWhenUsed/>
    <w:rPr>
      <w:color w:val="0563c1" w:themeColor="hyperlink"/>
      <w:u w:val="single"/>
    </w:rPr>
  </w:style>
  <w:style w:type="character" w:styleId="724" w:customStyle="1">
    <w:name w:val="xfm_93972720"/>
    <w:basedOn w:val="711"/>
  </w:style>
  <w:style w:type="character" w:styleId="725" w:customStyle="1">
    <w:name w:val="Звичайний (веб) Знак"/>
    <w:link w:val="718"/>
    <w:uiPriority w:val="99"/>
    <w:qFormat/>
    <w:rPr>
      <w:rFonts w:ascii="Times New Roman" w:hAnsi="Times New Roman" w:cs="Times New Roman"/>
      <w:sz w:val="24"/>
      <w:szCs w:val="24"/>
      <w:lang w:val="uk-UA"/>
    </w:rPr>
  </w:style>
  <w:style w:type="paragraph" w:styleId="726">
    <w:name w:val="Body Text 2"/>
    <w:basedOn w:val="709"/>
    <w:link w:val="727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27" w:customStyle="1">
    <w:name w:val="Основний текст 2 Знак"/>
    <w:basedOn w:val="711"/>
    <w:link w:val="72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8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29" w:customStyle="1">
    <w:name w:val="Заголовок 2 Знак"/>
    <w:basedOn w:val="711"/>
    <w:link w:val="710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30">
    <w:name w:val="No Spacing"/>
    <w:link w:val="731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31" w:customStyle="1">
    <w:name w:val="Без інтервалів Знак"/>
    <w:basedOn w:val="711"/>
    <w:link w:val="730"/>
    <w:uiPriority w:val="1"/>
    <w:rPr>
      <w:rFonts w:ascii="Calibri" w:hAnsi="Calibri" w:eastAsia="Calibri" w:cs="Times New Roman"/>
      <w:lang w:val="uk-UA"/>
    </w:rPr>
  </w:style>
  <w:style w:type="character" w:styleId="732" w:customStyle="1">
    <w:name w:val="Другое_"/>
    <w:basedOn w:val="711"/>
    <w:link w:val="733"/>
    <w:rPr>
      <w:rFonts w:ascii="Calibri" w:hAnsi="Calibri" w:eastAsia="Calibri" w:cs="Calibri"/>
      <w:sz w:val="20"/>
      <w:szCs w:val="20"/>
    </w:rPr>
  </w:style>
  <w:style w:type="paragraph" w:styleId="733" w:customStyle="1">
    <w:name w:val="Другое"/>
    <w:basedOn w:val="709"/>
    <w:link w:val="732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4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5" w:customStyle="1">
    <w:name w:val="Основной текст (2)_"/>
    <w:basedOn w:val="711"/>
    <w:link w:val="736"/>
    <w:rPr>
      <w:rFonts w:eastAsia="Times New Roman" w:cs="Times New Roman"/>
      <w:shd w:val="clear" w:color="auto" w:fill="ffffff"/>
    </w:rPr>
  </w:style>
  <w:style w:type="paragraph" w:styleId="736" w:customStyle="1">
    <w:name w:val="Основной текст (2)"/>
    <w:basedOn w:val="709"/>
    <w:link w:val="735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37" w:customStyle="1">
    <w:name w:val="Текст у виносці Знак"/>
    <w:basedOn w:val="711"/>
    <w:link w:val="73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38">
    <w:name w:val="Balloon Text"/>
    <w:basedOn w:val="709"/>
    <w:link w:val="737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39" w:customStyle="1">
    <w:name w:val="Текст у виносці Знак1"/>
    <w:basedOn w:val="711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40" w:customStyle="1">
    <w:name w:val="T23"/>
    <w:rPr>
      <w:rFonts w:hint="default" w:ascii="Times New Roman" w:hAnsi="Times New Roman" w:eastAsia="Times New Roman1" w:cs="Times New Roman"/>
    </w:rPr>
  </w:style>
  <w:style w:type="paragraph" w:styleId="741" w:customStyle="1">
    <w:name w:val="Абзац списку1"/>
    <w:basedOn w:val="709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42" w:customStyle="1">
    <w:name w:val="markedcontent"/>
    <w:basedOn w:val="711"/>
  </w:style>
  <w:style w:type="paragraph" w:styleId="743">
    <w:name w:val="annotation text"/>
    <w:basedOn w:val="709"/>
    <w:link w:val="744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4" w:customStyle="1">
    <w:name w:val="Текст примітки Знак"/>
    <w:basedOn w:val="711"/>
    <w:link w:val="743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45" w:customStyle="1">
    <w:name w:val="docdata"/>
    <w:basedOn w:val="711"/>
  </w:style>
  <w:style w:type="paragraph" w:styleId="746" w:customStyle="1">
    <w:name w:val="Основной текст 23"/>
    <w:basedOn w:val="709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149</cp:revision>
  <dcterms:created xsi:type="dcterms:W3CDTF">2022-11-01T12:47:00Z</dcterms:created>
  <dcterms:modified xsi:type="dcterms:W3CDTF">2023-12-13T21:35:51Z</dcterms:modified>
</cp:coreProperties>
</file>