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Шафа серверна підлогова 19’’ 46U 600*1000 в комплекті із блоком розподілу живлення вертикальний </w:t>
      </w:r>
      <w:r>
        <w:rPr>
          <w:b w:val="0"/>
          <w:bCs w:val="0"/>
          <w:sz w:val="24"/>
          <w:szCs w:val="24"/>
        </w:rPr>
        <w:t xml:space="preserve">Legrand</w:t>
      </w:r>
      <w:r>
        <w:rPr>
          <w:b w:val="0"/>
          <w:bCs w:val="0"/>
          <w:sz w:val="24"/>
          <w:szCs w:val="24"/>
        </w:rPr>
        <w:t xml:space="preserve"> 24  за кодом CPV за ЄЗС ДК 021:2015: 48820000-2 Сервери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008838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Шафа серверна підлогова 19’’ 46U 600*1000 в комплекті із блоком розподілу живлення вертикальний </w:t>
      </w:r>
      <w:r>
        <w:rPr>
          <w:rFonts w:ascii="Times New Roman" w:hAnsi="Times New Roman" w:cs="Times New Roman"/>
          <w:sz w:val="24"/>
          <w:szCs w:val="24"/>
        </w:rPr>
        <w:t xml:space="preserve">Legrand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Шафа серверна підлогова 19’’ 46U 600*1000 в комплекті із блоком розподілу живлення вертикальний </w:t>
            </w:r>
            <w:r>
              <w:rPr>
                <w:b/>
                <w:bCs/>
              </w:rPr>
              <w:t xml:space="preserve">Legrand</w:t>
            </w:r>
            <w:r>
              <w:rPr>
                <w:b/>
                <w:bCs/>
              </w:rPr>
              <w:t xml:space="preserve"> 24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10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 та введення в експлуатацію Товару.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0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1" w:name="_Hlk131682113"/>
      <w:r/>
      <w:bookmarkEnd w:id="0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Шафа серверна підлогова MIRSAN 19" 46U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Габарити: 2170x 600x1000 Шафа серверний з перфорованими дверима. Поставляється в розібраному вигляді Комплект поставки: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збірна несуча рама з встановленими знімними подвійними бічними стінками з замками; Передні двері перфорована 63% з замком з ручкою; Задні двері сталеві розсувні, перфоровані 63%, з замком з ручкою. Дві пари монтажних профілів на відстані 19 "з маркуванням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юнітів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з можливістю регулювання по глибині; Знімна верхня плита, перфорована 63%, з регульованою заглушкою для введення кабелю, з ущільнювачем; Знімна нижня плита з регульованою заглушкою для введення кабелю,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ущіль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нювачем; Регульовані ніжки і ролики в комплекті. Ступінь захисту: – IP 20 згідно стандарту EN 60529 Обробка поверхні: Каркас, бічні стінки, двері, пофарбовані порошковою фарбою з великою структурою кольору RAL 9002 (чорний). Монтажні і поперечні профілі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алюцинк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Максимальний дозволений вага обладнання встановленого в шафі: 1500 кг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>
          <w:trHeight w:val="537"/>
        </w:trPr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Блок розподілу живлення вертикальний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Legrand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 розетки24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розетки C13 із системою блокування шнура Кабель живлення довжиною 3 м з вилкою IEC 60309 32 A 2P+T Кабельна система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Legrand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LCS³ Розподіл енергії – однофазні базові блоки розподілу живлення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 (PDU) Призначення: для забезпечення електроенергією ІТ-обладнання у 19- дюймових корпусах Однофазні блоки розподілу живлення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 для вертикального монтажу у шафі Електроживлення 230 В – 50/60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Блоки розподілу живлення з 2 ланцюгами захищені однополюсним автоматичним вимикачем на 16 А + нейтраль в опорі з краями, що виступають, щоб уникнути випадкового виходу з ладу. Кожен ланцюг ідентифікується кольоровим маркуванням. Загальна кількіс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розеток розподіляється між двома контурами. Розетки 2P+E: стандартні розетки C13 та C19, розетки французького/німецького/британського стандартів із захисними шторками, розетки французького/німецького стандартів із нахилом 55° Кабельне введення, що оберт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ається на 330° Стандартні розетки C13 і C19 з системою блокування шнура. Поставляється з 2 комплектами металевих монтажних кронштейнів: кнопкові (для швидкої фіксації та змінного кроку) та стандарт і кронштейни (для кріплення гвинтами). Алюмінієвий профіль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бюджет України на 2023 рік» за КПКВК 1001050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791 701,30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дев’яносто одна тисяча сімсот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76</cp:revision>
  <dcterms:created xsi:type="dcterms:W3CDTF">2022-11-01T12:47:00Z</dcterms:created>
  <dcterms:modified xsi:type="dcterms:W3CDTF">2023-05-04T15:12:50Z</dcterms:modified>
</cp:coreProperties>
</file>