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pPr>
        <w:pStyle w:val="Normal"/>
        <w:widowControl w:val="false"/>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(відповідно до пункту 4</w:t>
      </w:r>
      <w:r>
        <w:rPr>
          <w:rFonts w:cs="Times New Roman" w:ascii="Times New Roman" w:hAnsi="Times New Roman"/>
          <w:sz w:val="24"/>
          <w:szCs w:val="24"/>
          <w:vertAlign w:val="superscript"/>
        </w:rPr>
        <w:t>1</w:t>
      </w:r>
      <w:r>
        <w:rPr>
          <w:rFonts w:cs="Times New Roman" w:ascii="Times New Roman" w:hAnsi="Times New Roman"/>
          <w:sz w:val="24"/>
          <w:szCs w:val="24"/>
        </w:rPr>
        <w:t xml:space="preserve"> постанови КМУ від 11.10.2016 № 710 «Про ефективне використання державних коштів» (зі змінами))</w:t>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cs="Times New Roman" w:ascii="Times New Roman" w:hAnsi="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Heading2"/>
        <w:shd w:val="clear" w:color="auto" w:fill="FFFFFF" w:themeFill="background1"/>
        <w:spacing w:beforeAutospacing="0" w:before="0" w:afterAutospacing="0" w:after="0"/>
        <w:jc w:val="both"/>
        <w:textAlignment w:val="baseline"/>
        <w:rPr>
          <w:color w:val="585858"/>
          <w:sz w:val="28"/>
          <w:szCs w:val="28"/>
        </w:rPr>
      </w:pPr>
      <w:r>
        <w:rPr>
          <w:sz w:val="24"/>
          <w:szCs w:val="24"/>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false"/>
          <w:bCs w:val="false"/>
          <w:sz w:val="24"/>
          <w:szCs w:val="24"/>
        </w:rPr>
        <w:t xml:space="preserve"> </w:t>
      </w:r>
      <w:bookmarkStart w:id="0" w:name="_Hlk146887755"/>
      <w:r>
        <w:rPr>
          <w:b w:val="false"/>
          <w:bCs w:val="false"/>
          <w:sz w:val="24"/>
          <w:szCs w:val="24"/>
        </w:rPr>
        <w:t xml:space="preserve">Послуги з </w:t>
      </w:r>
      <w:r>
        <w:rPr>
          <w:b w:val="false"/>
          <w:bCs w:val="false"/>
          <w:spacing w:val="1"/>
          <w:sz w:val="24"/>
          <w:szCs w:val="24"/>
        </w:rPr>
        <w:t xml:space="preserve"> технічної підтримки від виробників </w:t>
      </w:r>
      <w:r>
        <w:rPr>
          <w:b w:val="false"/>
          <w:bCs w:val="false"/>
          <w:spacing w:val="1"/>
          <w:sz w:val="24"/>
          <w:szCs w:val="24"/>
          <w:lang w:val="en-US"/>
        </w:rPr>
        <w:t>Dell</w:t>
      </w:r>
      <w:r>
        <w:rPr>
          <w:b w:val="false"/>
          <w:bCs w:val="false"/>
          <w:sz w:val="24"/>
          <w:szCs w:val="24"/>
        </w:rPr>
        <w:t xml:space="preserve">  та </w:t>
      </w:r>
      <w:r>
        <w:rPr>
          <w:b w:val="false"/>
          <w:bCs w:val="false"/>
          <w:sz w:val="24"/>
          <w:szCs w:val="24"/>
          <w:lang w:val="en-US"/>
        </w:rPr>
        <w:t xml:space="preserve">Cisco </w:t>
      </w:r>
      <w:r>
        <w:rPr>
          <w:b w:val="false"/>
          <w:bCs w:val="false"/>
          <w:sz w:val="24"/>
          <w:szCs w:val="24"/>
        </w:rPr>
        <w:t>за кодом  ДК 021:2015: 72250000-2 Послуги, пов’язані із системами та підтримкою</w:t>
      </w:r>
      <w:bookmarkEnd w:id="0"/>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3. Ідентифікатор закупівлі: — </w:t>
      </w:r>
      <w:r>
        <w:rPr>
          <w:rFonts w:cs="Times New Roman" w:ascii="Times New Roman" w:hAnsi="Times New Roman"/>
          <w:sz w:val="24"/>
          <w:szCs w:val="24"/>
        </w:rPr>
        <w:t>UA-2024-11-08-008090-а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b/>
          <w:sz w:val="24"/>
          <w:lang w:eastAsia="ru-RU"/>
        </w:rPr>
        <w:t>4. Обґрунтування технічних та якісних характеристик предмета закупівлі</w:t>
      </w:r>
      <w:r>
        <w:rPr>
          <w:rFonts w:eastAsia="Times New Roman" w:cs="Times New Roman" w:ascii="Times New Roman" w:hAnsi="Times New Roman"/>
          <w:bCs/>
          <w:sz w:val="24"/>
          <w:lang w:eastAsia="ru-RU"/>
        </w:rPr>
        <w:t xml:space="preserve">:  </w:t>
      </w:r>
      <w:r>
        <w:rPr>
          <w:rFonts w:cs="Times New Roman" w:ascii="Times New Roman" w:hAnsi="Times New Roman"/>
          <w:sz w:val="24"/>
          <w:szCs w:val="24"/>
        </w:rPr>
        <w:t xml:space="preserve">Послуги з </w:t>
      </w:r>
      <w:r>
        <w:rPr>
          <w:rFonts w:cs="Times New Roman" w:ascii="Times New Roman" w:hAnsi="Times New Roman"/>
          <w:spacing w:val="1"/>
          <w:sz w:val="24"/>
          <w:szCs w:val="24"/>
        </w:rPr>
        <w:t xml:space="preserve"> технічної підтримки від виробників </w:t>
      </w:r>
      <w:r>
        <w:rPr>
          <w:rFonts w:cs="Times New Roman" w:ascii="Times New Roman" w:hAnsi="Times New Roman"/>
          <w:spacing w:val="1"/>
          <w:sz w:val="24"/>
          <w:szCs w:val="24"/>
          <w:lang w:val="en-US"/>
        </w:rPr>
        <w:t>Dell</w:t>
      </w:r>
      <w:r>
        <w:rPr>
          <w:rFonts w:cs="Times New Roman" w:ascii="Times New Roman" w:hAnsi="Times New Roman"/>
          <w:sz w:val="24"/>
          <w:szCs w:val="24"/>
        </w:rPr>
        <w:t xml:space="preserve">  та </w:t>
      </w:r>
      <w:r>
        <w:rPr>
          <w:rFonts w:cs="Times New Roman" w:ascii="Times New Roman" w:hAnsi="Times New Roman"/>
          <w:sz w:val="24"/>
          <w:szCs w:val="24"/>
          <w:lang w:val="en-US"/>
        </w:rPr>
        <w:t xml:space="preserve">Cisco </w:t>
      </w:r>
      <w:r>
        <w:rPr>
          <w:rFonts w:cs="Times New Roman" w:ascii="Times New Roman" w:hAnsi="Times New Roman"/>
          <w:sz w:val="24"/>
          <w:szCs w:val="24"/>
        </w:rPr>
        <w:t>за кодом  ДК 021:2015: 72250000-2 Послуги, пов’язані із системами та підтримкою</w:t>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t>ТЕХНІЧНІ ВИМОГИ</w:t>
      </w:r>
    </w:p>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tbl>
      <w:tblPr>
        <w:tblW w:w="9918" w:type="dxa"/>
        <w:jc w:val="left"/>
        <w:tblInd w:w="0" w:type="dxa"/>
        <w:tblLayout w:type="fixed"/>
        <w:tblCellMar>
          <w:top w:w="0" w:type="dxa"/>
          <w:left w:w="108" w:type="dxa"/>
          <w:bottom w:w="0" w:type="dxa"/>
          <w:right w:w="108" w:type="dxa"/>
        </w:tblCellMar>
        <w:tblLook w:val="0400" w:noHBand="0" w:noVBand="1" w:firstColumn="0" w:lastRow="0" w:lastColumn="0" w:firstRow="0"/>
      </w:tblPr>
      <w:tblGrid>
        <w:gridCol w:w="863"/>
        <w:gridCol w:w="4802"/>
        <w:gridCol w:w="1701"/>
        <w:gridCol w:w="1275"/>
        <w:gridCol w:w="1277"/>
      </w:tblGrid>
      <w:tr>
        <w:trPr>
          <w:trHeight w:val="387" w:hRule="atLeast"/>
        </w:trPr>
        <w:tc>
          <w:tcPr>
            <w:tcW w:w="86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w:t>
            </w:r>
          </w:p>
        </w:tc>
        <w:tc>
          <w:tcPr>
            <w:tcW w:w="480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Період надання</w:t>
            </w:r>
          </w:p>
        </w:tc>
        <w:tc>
          <w:tcPr>
            <w:tcW w:w="127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Одиниця виміру</w:t>
            </w:r>
          </w:p>
        </w:tc>
        <w:tc>
          <w:tcPr>
            <w:tcW w:w="127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Кількість</w:t>
            </w:r>
          </w:p>
        </w:tc>
      </w:tr>
      <w:tr>
        <w:trPr>
          <w:trHeight w:val="391" w:hRule="atLeast"/>
        </w:trPr>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xml:space="preserve">Послуги з </w:t>
            </w:r>
            <w:r>
              <w:rPr>
                <w:rFonts w:cs="Times New Roman" w:ascii="Times New Roman" w:hAnsi="Times New Roman"/>
                <w:b/>
                <w:spacing w:val="1"/>
                <w:sz w:val="24"/>
                <w:szCs w:val="24"/>
              </w:rPr>
              <w:t xml:space="preserve"> технічної підтримки від виробника </w:t>
            </w:r>
            <w:r>
              <w:rPr>
                <w:rFonts w:cs="Times New Roman" w:ascii="Times New Roman" w:hAnsi="Times New Roman"/>
                <w:b/>
                <w:spacing w:val="1"/>
                <w:sz w:val="24"/>
                <w:szCs w:val="24"/>
                <w:lang w:val="en-US"/>
              </w:rPr>
              <w:t>Dell</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до 15.12.2024</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послуга</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w:t>
            </w:r>
          </w:p>
        </w:tc>
      </w:tr>
      <w:tr>
        <w:trPr>
          <w:trHeight w:val="391" w:hRule="atLeast"/>
        </w:trPr>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48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Послуги з </w:t>
            </w:r>
            <w:r>
              <w:rPr>
                <w:rFonts w:cs="Times New Roman" w:ascii="Times New Roman" w:hAnsi="Times New Roman"/>
                <w:b/>
                <w:spacing w:val="1"/>
                <w:sz w:val="24"/>
                <w:szCs w:val="24"/>
              </w:rPr>
              <w:t xml:space="preserve"> технічної підтримки від виробника </w:t>
            </w:r>
            <w:r>
              <w:rPr>
                <w:rFonts w:cs="Times New Roman" w:ascii="Times New Roman" w:hAnsi="Times New Roman"/>
                <w:b/>
                <w:spacing w:val="1"/>
                <w:sz w:val="24"/>
                <w:szCs w:val="24"/>
                <w:lang w:val="en-US"/>
              </w:rPr>
              <w:t>Cisco</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до 15.12.2024</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послуга</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1</w:t>
            </w:r>
          </w:p>
        </w:tc>
      </w:tr>
    </w:tbl>
    <w:p>
      <w:pPr>
        <w:pStyle w:val="Normal"/>
        <w:spacing w:lineRule="auto" w:line="240" w:before="0" w:after="0"/>
        <w:ind w:firstLine="357"/>
        <w:jc w:val="center"/>
        <w:rPr>
          <w:rFonts w:ascii="Times New Roman" w:hAnsi="Times New Roman" w:cs="Times New Roman"/>
          <w:b/>
          <w:b/>
          <w:color w:val="000000"/>
          <w:sz w:val="24"/>
          <w:szCs w:val="24"/>
        </w:rPr>
      </w:pPr>
      <w:r>
        <w:rPr>
          <w:rFonts w:cs="Times New Roman" w:ascii="Times New Roman" w:hAnsi="Times New Roman"/>
          <w:b/>
          <w:color w:val="000000"/>
          <w:sz w:val="24"/>
          <w:szCs w:val="24"/>
        </w:rPr>
      </w:r>
    </w:p>
    <w:p>
      <w:pPr>
        <w:pStyle w:val="NormalWeb"/>
        <w:numPr>
          <w:ilvl w:val="0"/>
          <w:numId w:val="1"/>
        </w:numPr>
        <w:suppressAutoHyphens w:val="true"/>
        <w:spacing w:lineRule="auto" w:line="240" w:before="0" w:after="0"/>
        <w:jc w:val="both"/>
        <w:rPr/>
      </w:pPr>
      <w:bookmarkStart w:id="1" w:name="_Hlk179385444"/>
      <w:r>
        <w:rPr/>
        <w:t>Постачальник повинен надати послуги з подовження строку дії технічної та</w:t>
      </w:r>
      <w:r>
        <w:rPr>
          <w:lang w:val="ru-RU"/>
        </w:rPr>
        <w:t>/або</w:t>
      </w:r>
      <w:r>
        <w:rPr/>
        <w:t xml:space="preserve"> сервісної підтримки </w:t>
      </w:r>
      <w:r>
        <w:rPr>
          <w:lang w:val="ru-RU"/>
        </w:rPr>
        <w:t>щодо а</w:t>
      </w:r>
      <w:r>
        <w:rPr/>
        <w:t>паратно-програмних комплексів або окремо взятого обладнання та програмної продукції (програмного забезпечення) Інформаційно-комунікаційної системи 112,  що включають в себе:</w:t>
      </w:r>
      <w:bookmarkEnd w:id="1"/>
    </w:p>
    <w:p>
      <w:pPr>
        <w:pStyle w:val="Normal"/>
        <w:spacing w:lineRule="auto" w:line="240" w:before="0" w:after="0"/>
        <w:ind w:firstLine="850"/>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ind w:firstLine="850"/>
        <w:jc w:val="both"/>
        <w:rPr>
          <w:rFonts w:ascii="Times New Roman" w:hAnsi="Times New Roman" w:cs="Times New Roman"/>
          <w:sz w:val="24"/>
          <w:szCs w:val="24"/>
        </w:rPr>
      </w:pPr>
      <w:r>
        <w:rPr>
          <w:rFonts w:cs="Times New Roman" w:ascii="Times New Roman" w:hAnsi="Times New Roman"/>
          <w:sz w:val="24"/>
          <w:szCs w:val="24"/>
        </w:rPr>
        <w:t>Таблиця №1</w:t>
      </w:r>
    </w:p>
    <w:tbl>
      <w:tblPr>
        <w:tblW w:w="9639"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566"/>
        <w:gridCol w:w="4111"/>
        <w:gridCol w:w="1418"/>
        <w:gridCol w:w="710"/>
        <w:gridCol w:w="1418"/>
        <w:gridCol w:w="1415"/>
      </w:tblGrid>
      <w:tr>
        <w:trPr>
          <w:tblHeader w:val="true"/>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clear" w:pos="708"/>
                <w:tab w:val="left" w:pos="709" w:leader="none"/>
              </w:tabs>
              <w:spacing w:lineRule="auto" w:line="240" w:before="0" w:after="0"/>
              <w:jc w:val="center"/>
              <w:outlineLvl w:val="0"/>
              <w:rPr>
                <w:rFonts w:ascii="Times New Roman" w:hAnsi="Times New Roman" w:eastAsia="Calibri" w:cs="Times New Roman"/>
                <w:b/>
                <w:b/>
                <w:sz w:val="24"/>
                <w:szCs w:val="24"/>
              </w:rPr>
            </w:pPr>
            <w:r>
              <w:rPr>
                <w:rFonts w:eastAsia="Calibri" w:cs="Times New Roman" w:ascii="Times New Roman" w:hAnsi="Times New Roman"/>
                <w:b/>
                <w:sz w:val="24"/>
                <w:szCs w:val="24"/>
              </w:rPr>
              <w:t xml:space="preserve">№ </w:t>
            </w:r>
            <w:r>
              <w:rPr>
                <w:rFonts w:eastAsia="Calibri" w:cs="Times New Roman" w:ascii="Times New Roman" w:hAnsi="Times New Roman"/>
                <w:b/>
                <w:sz w:val="24"/>
                <w:szCs w:val="24"/>
              </w:rPr>
              <w:t>з/п</w:t>
            </w:r>
          </w:p>
        </w:tc>
        <w:tc>
          <w:tcPr>
            <w:tcW w:w="4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clear" w:pos="708"/>
                <w:tab w:val="left" w:pos="709" w:leader="none"/>
              </w:tabs>
              <w:spacing w:lineRule="auto" w:line="240" w:before="0" w:after="0"/>
              <w:jc w:val="center"/>
              <w:outlineLvl w:val="0"/>
              <w:rPr>
                <w:rFonts w:ascii="Times New Roman" w:hAnsi="Times New Roman" w:eastAsia="Calibri" w:cs="Times New Roman"/>
                <w:b/>
                <w:b/>
                <w:sz w:val="24"/>
                <w:szCs w:val="24"/>
              </w:rPr>
            </w:pPr>
            <w:r>
              <w:rPr>
                <w:rFonts w:cs="Times New Roman" w:ascii="Times New Roman" w:hAnsi="Times New Roman"/>
                <w:b/>
                <w:bCs/>
                <w:iCs/>
                <w:sz w:val="24"/>
                <w:szCs w:val="24"/>
              </w:rPr>
              <w:t>Назва послуг*</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clear" w:pos="708"/>
                <w:tab w:val="left" w:pos="709" w:leader="none"/>
              </w:tabs>
              <w:spacing w:lineRule="auto" w:line="240" w:before="0" w:after="0"/>
              <w:jc w:val="center"/>
              <w:outlineLvl w:val="0"/>
              <w:rPr>
                <w:rFonts w:ascii="Times New Roman" w:hAnsi="Times New Roman" w:eastAsia="Calibri" w:cs="Times New Roman"/>
                <w:b/>
                <w:b/>
                <w:sz w:val="24"/>
                <w:szCs w:val="24"/>
              </w:rPr>
            </w:pPr>
            <w:r>
              <w:rPr>
                <w:rFonts w:eastAsia="Calibri" w:cs="Times New Roman" w:ascii="Times New Roman" w:hAnsi="Times New Roman"/>
                <w:b/>
                <w:sz w:val="24"/>
                <w:szCs w:val="24"/>
              </w:rPr>
              <w:t>Артикул послуг</w:t>
            </w:r>
          </w:p>
        </w:tc>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clear" w:pos="708"/>
                <w:tab w:val="left" w:pos="709" w:leader="none"/>
              </w:tabs>
              <w:spacing w:lineRule="auto" w:line="240" w:before="0" w:after="0"/>
              <w:jc w:val="center"/>
              <w:outlineLvl w:val="0"/>
              <w:rPr>
                <w:rFonts w:ascii="Times New Roman" w:hAnsi="Times New Roman" w:eastAsia="Calibri" w:cs="Times New Roman"/>
                <w:b/>
                <w:b/>
                <w:sz w:val="24"/>
                <w:szCs w:val="24"/>
              </w:rPr>
            </w:pPr>
            <w:r>
              <w:rPr>
                <w:rFonts w:eastAsia="Calibri" w:cs="Times New Roman" w:ascii="Times New Roman" w:hAnsi="Times New Roman"/>
                <w:b/>
                <w:sz w:val="24"/>
                <w:szCs w:val="24"/>
              </w:rPr>
              <w:t>Кіль</w:t>
            </w:r>
            <w:r>
              <w:rPr>
                <w:rFonts w:eastAsia="Calibri" w:cs="Times New Roman" w:ascii="Times New Roman" w:hAnsi="Times New Roman"/>
                <w:b/>
                <w:sz w:val="24"/>
                <w:szCs w:val="24"/>
                <w:lang w:val="en-US"/>
              </w:rPr>
              <w:t>-</w:t>
            </w:r>
            <w:r>
              <w:rPr>
                <w:rFonts w:eastAsia="Calibri" w:cs="Times New Roman" w:ascii="Times New Roman" w:hAnsi="Times New Roman"/>
                <w:b/>
                <w:sz w:val="24"/>
                <w:szCs w:val="24"/>
              </w:rPr>
              <w:t>кість</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64" w:leader="none"/>
              </w:tabs>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Дата початку надання послуг</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64" w:leader="none"/>
              </w:tabs>
              <w:spacing w:lineRule="auto" w:line="240" w:before="0" w:after="0"/>
              <w:jc w:val="center"/>
              <w:rPr>
                <w:rFonts w:ascii="Times New Roman" w:hAnsi="Times New Roman" w:eastAsia="Calibri" w:cs="Times New Roman"/>
                <w:b/>
                <w:b/>
                <w:sz w:val="24"/>
                <w:szCs w:val="24"/>
              </w:rPr>
            </w:pPr>
            <w:r>
              <w:rPr>
                <w:rFonts w:eastAsia="Calibri" w:cs="Times New Roman" w:ascii="Times New Roman" w:hAnsi="Times New Roman"/>
                <w:b/>
                <w:sz w:val="24"/>
                <w:szCs w:val="24"/>
              </w:rPr>
              <w:t>Дата закінчення надання послуг</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tabs>
                <w:tab w:val="clear" w:pos="708"/>
                <w:tab w:val="left" w:pos="0" w:leader="none"/>
              </w:tabs>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Інформаційно-консультаційна послуга щодо забезпечення активації розширення гарантії Dell Networking S3100 Series</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rPr>
            </w:pPr>
            <w:r>
              <w:rPr>
                <w:rFonts w:cs="Times New Roman" w:ascii="Times New Roman" w:hAnsi="Times New Roman"/>
                <w:bCs/>
                <w:color w:val="000000"/>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tabs>
                <w:tab w:val="clear" w:pos="708"/>
                <w:tab w:val="left" w:pos="0" w:leader="none"/>
              </w:tabs>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Інформаційно-консультаційна послуга щодо забезпечення активації розширення гарантії PowerSwitch S5248F-ON</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rPr>
            </w:pPr>
            <w:r>
              <w:rPr>
                <w:rFonts w:cs="Times New Roman" w:ascii="Times New Roman" w:hAnsi="Times New Roman"/>
                <w:bCs/>
                <w:color w:val="000000"/>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tabs>
                <w:tab w:val="clear" w:pos="708"/>
                <w:tab w:val="left" w:pos="0" w:leader="none"/>
              </w:tabs>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Інформаційно-консультаційна послуга щодо забезпечення активації розширення гарантії Isilon Chassis Upgrades and Extensions1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rPr>
            </w:pPr>
            <w:r>
              <w:rPr>
                <w:rFonts w:cs="Times New Roman" w:ascii="Times New Roman" w:hAnsi="Times New Roman"/>
                <w:bCs/>
                <w:color w:val="000000"/>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tabs>
                <w:tab w:val="clear" w:pos="708"/>
                <w:tab w:val="left" w:pos="0" w:leader="none"/>
              </w:tabs>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Інформаційно-консультаційна послуга щодо забезпечення активації розширення гарантії Isilon A200 Upgrades and Extensions2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rPr>
            </w:pPr>
            <w:r>
              <w:rPr>
                <w:rFonts w:cs="Times New Roman" w:ascii="Times New Roman" w:hAnsi="Times New Roman"/>
                <w:bCs/>
                <w:color w:val="000000"/>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tabs>
                <w:tab w:val="clear" w:pos="708"/>
                <w:tab w:val="left" w:pos="0" w:leader="none"/>
              </w:tabs>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Інформаційно-консультаційна послуга щодо забезпечення активації розширення гарантії Backend Network Switches APOS3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rPr>
            </w:pPr>
            <w:r>
              <w:rPr>
                <w:rFonts w:cs="Times New Roman" w:ascii="Times New Roman" w:hAnsi="Times New Roman"/>
                <w:bCs/>
                <w:color w:val="000000"/>
                <w:sz w:val="24"/>
                <w:szCs w:val="24"/>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tabs>
                <w:tab w:val="clear" w:pos="708"/>
                <w:tab w:val="left" w:pos="0" w:leader="none"/>
              </w:tabs>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Інформаційно-консультаційна послуга щодо забезпечення активації розширення гарантії IDPA 4400 Upgrade and Extension4</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rPr>
            </w:pPr>
            <w:r>
              <w:rPr>
                <w:rFonts w:cs="Times New Roman" w:ascii="Times New Roman" w:hAnsi="Times New Roman"/>
                <w:bCs/>
                <w:color w:val="000000"/>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tabs>
                <w:tab w:val="clear" w:pos="708"/>
                <w:tab w:val="left" w:pos="0" w:leader="none"/>
              </w:tabs>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lang w:val="en-US"/>
              </w:rPr>
            </w:pPr>
            <w:r>
              <w:rPr>
                <w:rFonts w:cs="Times New Roman" w:ascii="Times New Roman" w:hAnsi="Times New Roman"/>
                <w:color w:val="000000"/>
                <w:sz w:val="24"/>
                <w:szCs w:val="24"/>
              </w:rPr>
              <w:t>Інформаційно-консультаційна послуга щодо забезпечення активації розширення гарантії VxRail E560d H/F Upgrade And Extension</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SNTC-8X5XNBD Cisco Catalyst C8200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CON-SNT-C82001N4</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72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10-01-2025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SNTC-8X5XNBD Catalyst 9200L 48-port PoE+, 4 x 1G, Net</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CON-SNT-C92004GE</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4</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SNTC-8X5XNBD Catalyst 9200L 48-port PoE+, 4 x 10G, Ne</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CON-SNT-C920L48P</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6</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10-01-2025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SNTC-8X5XNBD Catalyst 9300 24-port data only, Network</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CON-SNT-C93002TA</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Cisco Webex Desk Camera, Carbon Black - WorldWideSNTC-8X5XNB</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CON-SNT-DDYWWKY2</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10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10-01-2025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Cisco UC Phone 7821SNTC-8X5XNBD</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CON-SNT-P7NK92N9</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150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Headset 532 Wired Dual + QD RJ Headset CableSNTC-8X5XNBD</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CON-SNT-PHERJWE0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150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Headset 532 Wired Dual + QD RJ Headset CableSNTC-8X5XNBD</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CON-SNT-PHERJWE0</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35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10-01-2025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SWSS UPGRADES Public Sector Calling Offer for EMEA C</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CON-ECMU-EURPSCNH</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256</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10-01-2025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SWSS UPGRADES PS Calling for EMEAR - Professional</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CON-ECMU-EURPSPRO</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150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SWSS UPGRADES PS Calling for EMEAR - Professional</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CON-ECMU-EURPSPRO</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35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10-01-2025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SWSS UPGRADES Public Sector Calling Offer for EMEA S</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CON-ECMU-EURPSSEP</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35</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10-01-2025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SNTC-8X5XNBD Cisco Firepower 1120 NGFW Appliance, 1U</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CON-SNT-FRP11209</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20</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10-01-2025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SNTC-8X5XNBD Cisco Firepower 2120 NGFW Appliance, 1U</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CON-SNT-FPR21GFN</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SNTC-8X5XNBD Cisco Secure Firewall 3110 NGFW Applianc</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CON-SNT-FPR3110N</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10-01-2025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SNTC-8X5XNBD Cisco ISR 4451 UC Bu</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CON-SNT-ISR4451V</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технічної підтримки SWSS UPGRADES Cisco Firepower Management Center, (VMWa</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CON-ECMU-SFFMCK9V</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01-01-2025</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r>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spacing w:lineRule="auto" w:line="240" w:before="0" w:after="0"/>
              <w:ind w:left="0" w:hanging="0"/>
              <w:jc w:val="center"/>
              <w:rPr>
                <w:rFonts w:ascii="Times New Roman" w:hAnsi="Times New Roman" w:cs="Times New Roman"/>
                <w:bCs/>
                <w:iCs/>
                <w:sz w:val="24"/>
                <w:szCs w:val="24"/>
              </w:rPr>
            </w:pPr>
            <w:r>
              <w:rPr>
                <w:rFonts w:cs="Times New Roman" w:ascii="Times New Roman" w:hAnsi="Times New Roman"/>
                <w:bCs/>
                <w:iCs/>
                <w:sz w:val="24"/>
                <w:szCs w:val="24"/>
              </w:rPr>
            </w:r>
          </w:p>
        </w:tc>
        <w:tc>
          <w:tcPr>
            <w:tcW w:w="41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t>Послуга з подовження строку дії програмної продукції (екземпляру комп’ютерної програми) Cisco FPR2120 Threat Defense Threat, Malware and URL License</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L-FPR2120T-TMC-1Y</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bCs/>
                <w:color w:val="000000"/>
                <w:sz w:val="24"/>
                <w:szCs w:val="24"/>
                <w:lang w:val="en-US"/>
              </w:rPr>
            </w:pPr>
            <w:r>
              <w:rPr>
                <w:rFonts w:cs="Times New Roman" w:ascii="Times New Roman" w:hAnsi="Times New Roman"/>
                <w:bCs/>
                <w:color w:val="000000"/>
                <w:sz w:val="24"/>
                <w:szCs w:val="24"/>
                <w:lang w:val="en-US"/>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02-12-2024</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01-12-2025</w:t>
            </w:r>
          </w:p>
        </w:tc>
      </w:tr>
    </w:tbl>
    <w:p>
      <w:pPr>
        <w:pStyle w:val="Normal"/>
        <w:pBdr/>
        <w:spacing w:lineRule="auto" w:line="240" w:before="0" w:after="0"/>
        <w:ind w:left="-142"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Web"/>
        <w:spacing w:lineRule="auto" w:line="240" w:before="0" w:after="0"/>
        <w:jc w:val="both"/>
        <w:rPr>
          <w:i/>
          <w:i/>
          <w:iCs/>
        </w:rPr>
      </w:pPr>
      <w:r>
        <w:rPr>
          <w:i/>
          <w:iCs/>
        </w:rPr>
        <w:t>* - у разі відмінності назви послуг у Замовника та Учасника (при однаковому артикулі послуг) у назві послуг вказується назва послуг за тендерною документацією Замовника та в дужках назва послуг Учасника.</w:t>
      </w:r>
    </w:p>
    <w:p>
      <w:pPr>
        <w:pStyle w:val="NormalWeb"/>
        <w:spacing w:lineRule="auto" w:line="240" w:before="0" w:after="0"/>
        <w:ind w:left="700" w:hanging="700"/>
        <w:jc w:val="both"/>
        <w:rPr>
          <w:i/>
          <w:i/>
          <w:iCs/>
          <w:lang w:val="en-US"/>
        </w:rPr>
      </w:pPr>
      <w:r>
        <w:rPr>
          <w:i/>
          <w:iCs/>
          <w:lang w:val="en-US"/>
        </w:rPr>
        <w:t xml:space="preserve">** </w:t>
        <w:tab/>
        <w:t xml:space="preserve">1) </w:t>
      </w:r>
      <w:r>
        <w:rPr>
          <w:i/>
          <w:iCs/>
        </w:rPr>
        <w:t>кожна послуга щодо забезпечення активації розширення гарантії має включати в себе послугу щодо забезпечення розширення гарантії для DELL EMC Base Chassis Normal не гірше ніж ProSupport and Next Business Day Onsite Service або аналог;</w:t>
      </w:r>
    </w:p>
    <w:p>
      <w:pPr>
        <w:pStyle w:val="NormalWeb"/>
        <w:spacing w:lineRule="auto" w:line="240" w:before="0" w:after="0"/>
        <w:ind w:left="700" w:hanging="0"/>
        <w:jc w:val="both"/>
        <w:rPr>
          <w:i/>
          <w:i/>
          <w:iCs/>
          <w:lang w:val="en-US"/>
        </w:rPr>
      </w:pPr>
      <w:r>
        <w:rPr>
          <w:i/>
          <w:iCs/>
          <w:lang w:val="en-US"/>
        </w:rPr>
        <w:t xml:space="preserve">2) </w:t>
      </w:r>
      <w:r>
        <w:rPr>
          <w:i/>
          <w:iCs/>
        </w:rPr>
        <w:t>кожна послуга щодо забезпечення активації розширення гарантії має включати в себе послугу щодо забезпечення розширення гарантії для DELL EMC Isilon A200 не гірше ніж ProSupport and Next Business Day Onsite Service, ProSupport and Next Business Day Onsite Service Additional Software Support</w:t>
        <w:softHyphen/>
        <w:t>Maintenance Reinstate, ProSupport and Next Business Day Onsite Service OneFS Hybrid Software Support-Maintenance Reinstate або аналог;</w:t>
      </w:r>
    </w:p>
    <w:p>
      <w:pPr>
        <w:pStyle w:val="NormalWeb"/>
        <w:spacing w:lineRule="auto" w:line="240" w:before="0" w:after="0"/>
        <w:ind w:left="700" w:hanging="0"/>
        <w:jc w:val="both"/>
        <w:rPr>
          <w:i/>
          <w:i/>
          <w:iCs/>
        </w:rPr>
      </w:pPr>
      <w:r>
        <w:rPr>
          <w:i/>
          <w:iCs/>
        </w:rPr>
        <w:t>3</w:t>
      </w:r>
      <w:r>
        <w:rPr>
          <w:i/>
          <w:iCs/>
          <w:lang w:val="en-US"/>
        </w:rPr>
        <w:t>)</w:t>
      </w:r>
      <w:r>
        <w:rPr>
          <w:i/>
          <w:iCs/>
        </w:rPr>
        <w:t xml:space="preserve"> кожна послуга щодо забезпечення активації розширення гарантії має включати в себе послугу щодо забезпечення розширення гарантії для DELL EMC S4112F не гірше ніж ProSupport and Next Business Day Onsite Service Reinstate або аналог;</w:t>
      </w:r>
    </w:p>
    <w:p>
      <w:pPr>
        <w:pStyle w:val="NormalWeb"/>
        <w:spacing w:lineRule="auto" w:line="240" w:before="0" w:after="0"/>
        <w:ind w:left="700" w:hanging="0"/>
        <w:jc w:val="both"/>
        <w:rPr>
          <w:i/>
          <w:i/>
          <w:iCs/>
        </w:rPr>
      </w:pPr>
      <w:r>
        <w:rPr>
          <w:i/>
          <w:iCs/>
        </w:rPr>
        <w:t>4</w:t>
      </w:r>
      <w:r>
        <w:rPr>
          <w:i/>
          <w:iCs/>
          <w:lang w:val="en-US"/>
        </w:rPr>
        <w:t>)</w:t>
      </w:r>
      <w:r>
        <w:rPr>
          <w:i/>
          <w:iCs/>
        </w:rPr>
        <w:t xml:space="preserve"> кожна послуга щодо забезпечення активації розширення гарантії має включати в себе послугу щодо забезпечення розширення гарантії DELL EMC IDPA 4400 не гірше ніж ProSupport And Next Business Day Onsite Service Reinstate, ProSupport And Next Business Day Onsite Service DP Sftwr Spt-Maint Reinstate, ProSupport And Next Business Day Onsite Service DP Additional Sftwr Spt-Maint Reinstate або аналог;</w:t>
      </w:r>
    </w:p>
    <w:p>
      <w:pPr>
        <w:pStyle w:val="NormalWeb"/>
        <w:spacing w:lineRule="auto" w:line="240" w:before="0" w:after="0"/>
        <w:ind w:left="700" w:hanging="0"/>
        <w:jc w:val="both"/>
        <w:rPr>
          <w:i/>
          <w:i/>
          <w:iCs/>
        </w:rPr>
      </w:pPr>
      <w:r>
        <w:rPr>
          <w:i/>
          <w:iCs/>
        </w:rPr>
        <w:t>5</w:t>
      </w:r>
      <w:r>
        <w:rPr>
          <w:i/>
          <w:iCs/>
          <w:lang w:val="en-US"/>
        </w:rPr>
        <w:t>)</w:t>
      </w:r>
      <w:r>
        <w:rPr>
          <w:i/>
          <w:iCs/>
        </w:rPr>
        <w:t xml:space="preserve"> кожна послуга щодо забезпечення активації розширення гарантії має включати в себе послугу щодо забезпечення розширення гарантії DELL EMC VxRail E560F не гірше ніж ProSupport and Next Business Day Onsite Service VSAN Reinstate, ProSupport Next Business Day VxRail Sftwr Spt-Maint Reinstate, ProSupport Next Business Day RecoverPoint for VMs Software Support-Maintanance Reinstate або аналог.</w:t>
      </w:r>
    </w:p>
    <w:p>
      <w:pPr>
        <w:pStyle w:val="Normal"/>
        <w:pBdr/>
        <w:spacing w:lineRule="auto" w:line="240" w:before="0" w:after="0"/>
        <w:ind w:left="-142" w:hanging="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Web"/>
        <w:spacing w:lineRule="auto" w:line="240" w:before="0" w:after="0"/>
        <w:ind w:left="360" w:hanging="0"/>
        <w:jc w:val="both"/>
        <w:rPr/>
      </w:pPr>
      <w:r>
        <w:rPr/>
      </w:r>
    </w:p>
    <w:p>
      <w:pPr>
        <w:pStyle w:val="NormalWeb"/>
        <w:numPr>
          <w:ilvl w:val="0"/>
          <w:numId w:val="1"/>
        </w:numPr>
        <w:suppressAutoHyphens w:val="true"/>
        <w:spacing w:lineRule="auto" w:line="240" w:before="0" w:after="0"/>
        <w:jc w:val="both"/>
        <w:rPr>
          <w:b/>
          <w:b/>
          <w:bCs/>
        </w:rPr>
      </w:pPr>
      <w:bookmarkStart w:id="2" w:name="_Hlk179386175"/>
      <w:r>
        <w:rPr>
          <w:b/>
          <w:bCs/>
        </w:rPr>
        <w:t xml:space="preserve">Загальний опис вимог до технічної та/або сервісної підтримки від Виробника </w:t>
      </w:r>
      <w:r>
        <w:rPr>
          <w:b/>
          <w:bCs/>
          <w:lang w:val="en-US"/>
        </w:rPr>
        <w:t>Dell Technologies</w:t>
      </w:r>
    </w:p>
    <w:p>
      <w:pPr>
        <w:pStyle w:val="NormalWeb"/>
        <w:numPr>
          <w:ilvl w:val="1"/>
          <w:numId w:val="1"/>
        </w:numPr>
        <w:suppressAutoHyphens w:val="true"/>
        <w:spacing w:lineRule="auto" w:line="240" w:before="0" w:after="0"/>
        <w:jc w:val="both"/>
        <w:rPr/>
      </w:pPr>
      <w:r>
        <w:rPr/>
        <w:t xml:space="preserve">Послуги щодо забезпечення технічної та/або сервісної підтримки </w:t>
      </w:r>
      <w:r>
        <w:rPr>
          <w:lang w:val="en-US"/>
        </w:rPr>
        <w:t>(</w:t>
      </w:r>
      <w:r>
        <w:rPr>
          <w:lang w:val="ru-RU"/>
        </w:rPr>
        <w:t>може також формулюват</w:t>
      </w:r>
      <w:r>
        <w:rPr/>
        <w:t>и</w:t>
      </w:r>
      <w:r>
        <w:rPr>
          <w:lang w:val="ru-RU"/>
        </w:rPr>
        <w:t>ся як «</w:t>
      </w:r>
      <w:r>
        <w:rPr/>
        <w:t xml:space="preserve">розширення гарантії», або «продовження розширеної гарантії» тощо) для обладнання </w:t>
      </w:r>
      <w:r>
        <w:rPr>
          <w:lang w:val="en-US"/>
        </w:rPr>
        <w:t>Dell Technologies (</w:t>
      </w:r>
      <w:r>
        <w:rPr/>
        <w:t xml:space="preserve">також відомої як </w:t>
      </w:r>
      <w:r>
        <w:rPr>
          <w:lang w:val="en-US"/>
        </w:rPr>
        <w:t>DellEMC)</w:t>
      </w:r>
      <w:r>
        <w:rPr/>
        <w:t xml:space="preserve"> мають надаватися Виробником, для можливості здійснення Замовником прямого доступу до всіх опцій гарантії та ресурсів Виробника без посередника, а саме: </w:t>
      </w:r>
    </w:p>
    <w:p>
      <w:pPr>
        <w:pStyle w:val="NormalWeb"/>
        <w:numPr>
          <w:ilvl w:val="1"/>
          <w:numId w:val="3"/>
        </w:numPr>
        <w:suppressAutoHyphens w:val="true"/>
        <w:spacing w:lineRule="auto" w:line="240" w:before="0" w:after="0"/>
        <w:jc w:val="both"/>
        <w:rPr/>
      </w:pPr>
      <w:r>
        <w:rPr/>
        <w:t>Виробник повинен забезпечити сервісну підтримку з режимом роботи 24х7 (цілодобово) з питань роботи апаратного забезпечення;</w:t>
      </w:r>
    </w:p>
    <w:p>
      <w:pPr>
        <w:pStyle w:val="NormalWeb"/>
        <w:numPr>
          <w:ilvl w:val="1"/>
          <w:numId w:val="3"/>
        </w:numPr>
        <w:suppressAutoHyphens w:val="true"/>
        <w:spacing w:lineRule="auto" w:line="240" w:before="0" w:after="0"/>
        <w:jc w:val="both"/>
        <w:rPr/>
      </w:pPr>
      <w:r>
        <w:rPr/>
        <w:t>забезпечити авансову заміну обладнання з відвантаженням зі складу виробника на непізніше ніж на наступний робочий день після оформлення відповідної сервісної заявки у разі оформлення сервісної заявки з 10:00 до 15:00 за місцевим часом. У разі оформлення сервісної заявки після 15:00 за місцевим часом - заміна обладнання відбувається протягом не більше двох робочих днів за днем оформлення сервісної заявки. Заміна несправного обладнання повинна проводитися необмежену кількість разів протягом всього терміну дії сервісної підтримки Виробника;</w:t>
      </w:r>
    </w:p>
    <w:p>
      <w:pPr>
        <w:pStyle w:val="NormalWeb"/>
        <w:numPr>
          <w:ilvl w:val="1"/>
          <w:numId w:val="3"/>
        </w:numPr>
        <w:suppressAutoHyphens w:val="true"/>
        <w:spacing w:lineRule="auto" w:line="240" w:before="0" w:after="0"/>
        <w:jc w:val="both"/>
        <w:rPr/>
      </w:pPr>
      <w:r>
        <w:rPr/>
        <w:t>надавати можливість для завантаження нових версій програмного забезпечення, оновлень з безпеки, вразливостей і виправлень виявлених помилок, розширення функціональності ПЗ, що поставляється разом з обладнанням;</w:t>
      </w:r>
    </w:p>
    <w:p>
      <w:pPr>
        <w:pStyle w:val="NormalWeb"/>
        <w:numPr>
          <w:ilvl w:val="1"/>
          <w:numId w:val="3"/>
        </w:numPr>
        <w:suppressAutoHyphens w:val="true"/>
        <w:spacing w:lineRule="auto" w:line="240" w:before="0" w:after="0"/>
        <w:jc w:val="both"/>
        <w:rPr/>
      </w:pPr>
      <w:r>
        <w:rPr/>
        <w:t>для вирішення проблем під час експлуатації апаратного та програмного забезпечення Виробник повинен надавати електронний сервіс (веб-портал, спеціальну email-адресу, мобільний додаток тощо) для створення заявок від Замовника або його представників з автоматичною реєстрацією таких заявок в системі підтримки Виробника. Робота з таким сервісом та комунікація з представниками Виробника повинна бути доступна англійською або українською мовою.</w:t>
      </w:r>
    </w:p>
    <w:p>
      <w:pPr>
        <w:pStyle w:val="NormalWeb"/>
        <w:numPr>
          <w:ilvl w:val="1"/>
          <w:numId w:val="1"/>
        </w:numPr>
        <w:suppressAutoHyphens w:val="true"/>
        <w:spacing w:lineRule="auto" w:line="240" w:before="0" w:after="0"/>
        <w:jc w:val="both"/>
        <w:rPr/>
      </w:pPr>
      <w:r>
        <w:rPr/>
        <w:t xml:space="preserve">Технічна та/або сервісна підтримка від Виробника </w:t>
      </w:r>
      <w:r>
        <w:rPr>
          <w:lang w:val="en-US"/>
        </w:rPr>
        <w:t>Dell Technologies</w:t>
      </w:r>
      <w:r>
        <w:rPr/>
        <w:t xml:space="preserve"> застосовується до наступного обладнання:</w:t>
      </w:r>
    </w:p>
    <w:p>
      <w:pPr>
        <w:pStyle w:val="NormalWeb"/>
        <w:numPr>
          <w:ilvl w:val="2"/>
          <w:numId w:val="1"/>
        </w:numPr>
        <w:suppressAutoHyphens w:val="true"/>
        <w:spacing w:lineRule="auto" w:line="240" w:before="0" w:after="0"/>
        <w:jc w:val="both"/>
        <w:rPr/>
      </w:pPr>
      <w:r>
        <w:rPr/>
        <w:t>Адреси місця розташування обладнання Апаратно-програмного комплексу Замовника Постачальник отримує від Замовника після укладання Договору.</w:t>
      </w:r>
    </w:p>
    <w:p>
      <w:pPr>
        <w:pStyle w:val="NormalWeb"/>
        <w:numPr>
          <w:ilvl w:val="2"/>
          <w:numId w:val="1"/>
        </w:numPr>
        <w:suppressAutoHyphens w:val="true"/>
        <w:spacing w:lineRule="auto" w:line="240" w:before="0" w:after="0"/>
        <w:jc w:val="both"/>
        <w:rPr/>
      </w:pPr>
      <w:r>
        <w:rPr/>
        <w:t xml:space="preserve">Детальний перелік обладнання </w:t>
      </w:r>
      <w:r>
        <w:rPr>
          <w:lang w:val="en-US"/>
        </w:rPr>
        <w:t xml:space="preserve">Dell Technologies </w:t>
      </w:r>
      <w:r>
        <w:rPr/>
        <w:t>включає:</w:t>
      </w:r>
      <w:bookmarkEnd w:id="2"/>
    </w:p>
    <w:p>
      <w:pPr>
        <w:pStyle w:val="NormalWeb"/>
        <w:spacing w:lineRule="auto" w:line="240" w:before="0" w:after="0"/>
        <w:ind w:left="1224" w:hanging="0"/>
        <w:jc w:val="both"/>
        <w:rPr/>
      </w:pPr>
      <w:r>
        <w:rPr/>
      </w:r>
    </w:p>
    <w:tbl>
      <w:tblPr>
        <w:tblStyle w:val="a5"/>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3"/>
        <w:gridCol w:w="13"/>
        <w:gridCol w:w="5092"/>
        <w:gridCol w:w="1559"/>
        <w:gridCol w:w="2266"/>
      </w:tblGrid>
      <w:tr>
        <w:trPr>
          <w:cantSplit w:val="true"/>
        </w:trPr>
        <w:tc>
          <w:tcPr>
            <w:tcW w:w="716" w:type="dxa"/>
            <w:gridSpan w:val="2"/>
            <w:tcBorders/>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w:t>
            </w:r>
          </w:p>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з/п</w:t>
            </w:r>
          </w:p>
        </w:tc>
        <w:tc>
          <w:tcPr>
            <w:tcW w:w="5092" w:type="dxa"/>
            <w:tcBorders/>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 xml:space="preserve"> </w:t>
            </w:r>
            <w:r>
              <w:rPr>
                <w:rFonts w:eastAsia="Calibri" w:cs="Times New Roman" w:ascii="Times New Roman" w:hAnsi="Times New Roman"/>
                <w:b/>
                <w:bCs/>
                <w:kern w:val="0"/>
                <w:sz w:val="24"/>
                <w:szCs w:val="24"/>
                <w:lang w:eastAsia="en-US" w:bidi="ar-SA"/>
              </w:rPr>
              <w:t>Найменування та/або код обладнання</w:t>
            </w:r>
            <w:r>
              <w:rPr>
                <w:rFonts w:eastAsia="Calibri" w:cs="Times New Roman" w:ascii="Times New Roman" w:hAnsi="Times New Roman"/>
                <w:b/>
                <w:bCs/>
                <w:kern w:val="0"/>
                <w:sz w:val="24"/>
                <w:szCs w:val="24"/>
                <w:lang w:val="en-US" w:eastAsia="en-US" w:bidi="ar-SA"/>
              </w:rPr>
              <w:t xml:space="preserve"> </w:t>
            </w:r>
            <w:r>
              <w:rPr>
                <w:rFonts w:eastAsia="Calibri" w:cs="Times New Roman" w:ascii="Times New Roman" w:hAnsi="Times New Roman"/>
                <w:b/>
                <w:bCs/>
                <w:kern w:val="0"/>
                <w:sz w:val="24"/>
                <w:szCs w:val="24"/>
                <w:lang w:eastAsia="en-US" w:bidi="ar-SA"/>
              </w:rPr>
              <w:t>(пристрою)</w:t>
            </w:r>
          </w:p>
        </w:tc>
        <w:tc>
          <w:tcPr>
            <w:tcW w:w="1559" w:type="dxa"/>
            <w:tcBorders/>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 xml:space="preserve"> </w:t>
            </w:r>
            <w:r>
              <w:rPr>
                <w:rFonts w:eastAsia="Calibri" w:cs="Times New Roman" w:ascii="Times New Roman" w:hAnsi="Times New Roman"/>
                <w:b/>
                <w:bCs/>
                <w:kern w:val="0"/>
                <w:sz w:val="24"/>
                <w:szCs w:val="24"/>
                <w:lang w:eastAsia="en-US" w:bidi="ar-SA"/>
              </w:rPr>
              <w:t>Кількість, од.</w:t>
            </w:r>
          </w:p>
        </w:tc>
        <w:tc>
          <w:tcPr>
            <w:tcW w:w="2266" w:type="dxa"/>
            <w:tcBorders/>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Серійний номер*</w:t>
            </w:r>
          </w:p>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w:t>
            </w:r>
            <w:r>
              <w:rPr>
                <w:rFonts w:eastAsia="Calibri" w:cs="Times New Roman" w:ascii="Times New Roman" w:hAnsi="Times New Roman"/>
                <w:b/>
                <w:bCs/>
                <w:kern w:val="0"/>
                <w:sz w:val="24"/>
                <w:szCs w:val="24"/>
                <w:lang w:val="en-US" w:eastAsia="en-US" w:bidi="ar-SA"/>
              </w:rPr>
              <w:t>Service Tag</w:t>
            </w:r>
            <w:r>
              <w:rPr>
                <w:rFonts w:eastAsia="Calibri" w:cs="Times New Roman" w:ascii="Times New Roman" w:hAnsi="Times New Roman"/>
                <w:b/>
                <w:bCs/>
                <w:kern w:val="0"/>
                <w:sz w:val="24"/>
                <w:szCs w:val="24"/>
                <w:lang w:eastAsia="en-US" w:bidi="ar-SA"/>
              </w:rPr>
              <w:t>)</w:t>
            </w:r>
          </w:p>
        </w:tc>
      </w:tr>
      <w:tr>
        <w:trPr/>
        <w:tc>
          <w:tcPr>
            <w:tcW w:w="703" w:type="dxa"/>
            <w:tcBorders/>
            <w:shd w:color="auto" w:fill="D0CECE" w:themeFill="background2" w:themeFillShade="e6"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1</w:t>
            </w:r>
          </w:p>
        </w:tc>
        <w:tc>
          <w:tcPr>
            <w:tcW w:w="5105" w:type="dxa"/>
            <w:gridSpan w:val="2"/>
            <w:tcBorders/>
            <w:shd w:color="auto" w:fill="D0CECE" w:themeFill="background2" w:themeFillShade="e6"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2</w:t>
            </w:r>
          </w:p>
        </w:tc>
        <w:tc>
          <w:tcPr>
            <w:tcW w:w="1559" w:type="dxa"/>
            <w:tcBorders/>
            <w:shd w:color="auto" w:fill="D0CECE" w:themeFill="background2" w:themeFillShade="e6"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3</w:t>
            </w:r>
          </w:p>
        </w:tc>
        <w:tc>
          <w:tcPr>
            <w:tcW w:w="2266" w:type="dxa"/>
            <w:tcBorders/>
            <w:shd w:color="auto" w:fill="D0CECE" w:themeFill="background2" w:themeFillShade="e6"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4</w:t>
            </w:r>
          </w:p>
        </w:tc>
      </w:tr>
      <w:tr>
        <w:trPr>
          <w:trHeight w:val="114" w:hRule="atLeast"/>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1</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14:numForm w14:val="lining"/>
              </w:rPr>
              <w:t>DELL EMC Dell Networking S3100 Series</w:t>
            </w:r>
          </w:p>
        </w:tc>
        <w:tc>
          <w:tcPr>
            <w:tcW w:w="1559"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1</w:t>
            </w:r>
          </w:p>
        </w:tc>
        <w:tc>
          <w:tcPr>
            <w:tcW w:w="2266" w:type="dxa"/>
            <w:tcBorders/>
            <w:shd w:color="auto" w:fill="auto" w:val="clear"/>
          </w:tcPr>
          <w:p>
            <w:pPr>
              <w:pStyle w:val="Normal"/>
              <w:widowControl/>
              <w:spacing w:lineRule="auto" w:line="240" w:before="0" w:after="0"/>
              <w:jc w:val="left"/>
              <w:rPr>
                <w:rFonts w:ascii="Times New Roman" w:hAnsi="Times New Roman" w:cs="Times New Roman"/>
                <w:color w:val="000000"/>
                <w:sz w:val="24"/>
                <w:szCs w:val="24"/>
                <w:lang w:val="en-US"/>
              </w:rPr>
            </w:pPr>
            <w:r>
              <w:rPr>
                <w:rFonts w:eastAsia="Calibri" w:cs="Times New Roman" w:ascii="Times New Roman" w:hAnsi="Times New Roman"/>
                <w:color w:val="000000"/>
                <w:kern w:val="0"/>
                <w:sz w:val="24"/>
                <w:szCs w:val="24"/>
                <w:lang w:eastAsia="en-US" w:bidi="ar-SA"/>
              </w:rPr>
              <w:t>3RYCV43</w:t>
            </w:r>
          </w:p>
        </w:tc>
      </w:tr>
      <w:tr>
        <w:trPr>
          <w:trHeight w:val="114" w:hRule="atLeast"/>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2</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DELL EMC PowerSwitch S5248F-ON</w:t>
            </w:r>
          </w:p>
        </w:tc>
        <w:tc>
          <w:tcPr>
            <w:tcW w:w="1559"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2</w:t>
            </w:r>
          </w:p>
        </w:tc>
        <w:tc>
          <w:tcPr>
            <w:tcW w:w="2266" w:type="dxa"/>
            <w:tcBorders/>
            <w:shd w:color="auto" w:fill="auto" w:val="clear"/>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HBPQY03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6N9RY03</w:t>
            </w:r>
          </w:p>
        </w:tc>
      </w:tr>
      <w:tr>
        <w:trPr>
          <w:trHeight w:val="114" w:hRule="atLeast"/>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3</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DELL EMC Isilon Chassis Upgrades and Extensions</w:t>
            </w:r>
          </w:p>
        </w:tc>
        <w:tc>
          <w:tcPr>
            <w:tcW w:w="1559"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1</w:t>
            </w:r>
          </w:p>
        </w:tc>
        <w:tc>
          <w:tcPr>
            <w:tcW w:w="2266" w:type="dxa"/>
            <w:tcBorders/>
            <w:shd w:color="auto" w:fill="auto" w:val="clear"/>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HRNW983</w:t>
            </w:r>
          </w:p>
        </w:tc>
      </w:tr>
      <w:tr>
        <w:trPr>
          <w:trHeight w:val="114" w:hRule="atLeast"/>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4</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DELL EMC Isilon A200 Upgrades and Extensions</w:t>
            </w:r>
          </w:p>
        </w:tc>
        <w:tc>
          <w:tcPr>
            <w:tcW w:w="1559"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4</w:t>
            </w:r>
          </w:p>
        </w:tc>
        <w:tc>
          <w:tcPr>
            <w:tcW w:w="2266" w:type="dxa"/>
            <w:tcBorders/>
            <w:shd w:color="auto" w:fill="auto" w:val="clear"/>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HPBW983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FV9X983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JRNW983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JQZW983</w:t>
            </w:r>
          </w:p>
        </w:tc>
      </w:tr>
      <w:tr>
        <w:trPr>
          <w:trHeight w:val="114" w:hRule="atLeast"/>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5</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DELL EMC Backend Network Switches APOS</w:t>
            </w:r>
          </w:p>
        </w:tc>
        <w:tc>
          <w:tcPr>
            <w:tcW w:w="1559"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2</w:t>
            </w:r>
          </w:p>
        </w:tc>
        <w:tc>
          <w:tcPr>
            <w:tcW w:w="2266" w:type="dxa"/>
            <w:tcBorders/>
            <w:shd w:color="auto" w:fill="auto" w:val="clear"/>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FRLKV43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19LKV43</w:t>
            </w:r>
          </w:p>
        </w:tc>
      </w:tr>
      <w:tr>
        <w:trPr>
          <w:trHeight w:val="114" w:hRule="atLeast"/>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6</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DELL EMC IDPA 4400 Upgrade and Extension</w:t>
            </w:r>
          </w:p>
        </w:tc>
        <w:tc>
          <w:tcPr>
            <w:tcW w:w="1559"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1</w:t>
            </w:r>
          </w:p>
        </w:tc>
        <w:tc>
          <w:tcPr>
            <w:tcW w:w="2266" w:type="dxa"/>
            <w:tcBorders/>
            <w:shd w:color="auto" w:fill="auto" w:val="clear"/>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8CLW6K3</w:t>
            </w:r>
          </w:p>
        </w:tc>
      </w:tr>
      <w:tr>
        <w:trPr>
          <w:trHeight w:val="114" w:hRule="atLeast"/>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7</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DELL EMC VxRail E560d H/F Upgrade And Extension</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eastAsia="en-US" w:bidi="ar-SA"/>
              </w:rPr>
            </w:r>
          </w:p>
        </w:tc>
        <w:tc>
          <w:tcPr>
            <w:tcW w:w="2266" w:type="dxa"/>
            <w:tcBorders/>
            <w:shd w:color="auto" w:fill="auto" w:val="clear"/>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8RLW6K3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DRLW6K3</w:t>
            </w:r>
          </w:p>
          <w:p>
            <w:pPr>
              <w:pStyle w:val="Normal"/>
              <w:widowControl/>
              <w:spacing w:lineRule="auto" w:line="240" w:before="0" w:after="0"/>
              <w:jc w:val="left"/>
              <w:rPr>
                <w:rFonts w:ascii="Times New Roman" w:hAnsi="Times New Roman" w:cs="Times New Roman"/>
                <w:color w:val="000000"/>
                <w:sz w:val="24"/>
                <w:szCs w:val="24"/>
                <w:lang w:val="en-US"/>
              </w:rPr>
            </w:pPr>
            <w:r>
              <w:rPr>
                <w:rFonts w:eastAsia="Calibri" w:cs="Times New Roman" w:ascii="Times New Roman" w:hAnsi="Times New Roman"/>
                <w:color w:val="000000"/>
                <w:kern w:val="0"/>
                <w:sz w:val="24"/>
                <w:szCs w:val="24"/>
                <w:lang w:eastAsia="en-US" w:bidi="ar-SA"/>
              </w:rPr>
              <w:t>BRLW6K3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9RLW6K3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CRLW6K3</w:t>
            </w:r>
          </w:p>
        </w:tc>
      </w:tr>
    </w:tbl>
    <w:p>
      <w:pPr>
        <w:pStyle w:val="Normal"/>
        <w:tabs>
          <w:tab w:val="clear" w:pos="708"/>
          <w:tab w:val="left" w:pos="855" w:leader="none"/>
        </w:tabs>
        <w:spacing w:lineRule="auto" w:line="240" w:before="0" w:after="0"/>
        <w:ind w:firstLine="426"/>
        <w:jc w:val="both"/>
        <w:rPr>
          <w:rFonts w:ascii="Times New Roman" w:hAnsi="Times New Roman" w:cs="Times New Roman"/>
          <w:bCs/>
          <w:i/>
          <w:i/>
          <w:iCs/>
          <w:sz w:val="24"/>
          <w:szCs w:val="24"/>
        </w:rPr>
      </w:pPr>
      <w:r>
        <w:rPr>
          <w:rFonts w:cs="Times New Roman" w:ascii="Times New Roman" w:hAnsi="Times New Roman"/>
          <w:bCs/>
          <w:i/>
          <w:iCs/>
          <w:sz w:val="24"/>
          <w:szCs w:val="24"/>
          <w:lang w:val="en-US"/>
        </w:rPr>
        <w:tab/>
      </w:r>
    </w:p>
    <w:p>
      <w:pPr>
        <w:pStyle w:val="NormalWeb"/>
        <w:numPr>
          <w:ilvl w:val="0"/>
          <w:numId w:val="1"/>
        </w:numPr>
        <w:suppressAutoHyphens w:val="true"/>
        <w:spacing w:lineRule="auto" w:line="240" w:before="0" w:after="0"/>
        <w:jc w:val="both"/>
        <w:rPr>
          <w:b/>
          <w:b/>
          <w:bCs/>
        </w:rPr>
      </w:pPr>
      <w:bookmarkStart w:id="3" w:name="_Hlk179385933"/>
      <w:r>
        <w:rPr>
          <w:b/>
          <w:bCs/>
        </w:rPr>
        <w:t xml:space="preserve">Загальний опис </w:t>
      </w:r>
      <w:bookmarkStart w:id="4" w:name="_Hlk175300163"/>
      <w:r>
        <w:rPr>
          <w:b/>
          <w:bCs/>
        </w:rPr>
        <w:t xml:space="preserve">вимог до технічної та/або сервісної підтримки </w:t>
      </w:r>
      <w:bookmarkEnd w:id="4"/>
      <w:r>
        <w:rPr>
          <w:b/>
          <w:bCs/>
        </w:rPr>
        <w:t>від Виробника Cisco Systems</w:t>
      </w:r>
    </w:p>
    <w:p>
      <w:pPr>
        <w:pStyle w:val="NormalWeb"/>
        <w:numPr>
          <w:ilvl w:val="1"/>
          <w:numId w:val="1"/>
        </w:numPr>
        <w:suppressAutoHyphens w:val="true"/>
        <w:spacing w:lineRule="auto" w:line="240" w:before="0" w:after="0"/>
        <w:jc w:val="both"/>
        <w:rPr/>
      </w:pPr>
      <w:r>
        <w:rPr/>
        <w:t>Технічна та сервісна підтримка обладнання Cisco має відповідати умовам не нижче  Cisco CON-SNT-SMARTnet (прийом звернень 24 години на добу, 7 днів на тиждень із заміною обладнання) та таким вимогам:</w:t>
      </w:r>
    </w:p>
    <w:p>
      <w:pPr>
        <w:pStyle w:val="NormalWeb"/>
        <w:numPr>
          <w:ilvl w:val="1"/>
          <w:numId w:val="3"/>
        </w:numPr>
        <w:suppressAutoHyphens w:val="true"/>
        <w:spacing w:lineRule="auto" w:line="240" w:before="0" w:after="0"/>
        <w:jc w:val="both"/>
        <w:rPr/>
      </w:pPr>
      <w:r>
        <w:rPr>
          <w:bCs/>
        </w:rPr>
        <w:t xml:space="preserve">надання консультацій за телефоном та електронною поштою з питань налаштування і експлуатації </w:t>
      </w:r>
      <w:r>
        <w:rPr/>
        <w:t xml:space="preserve">обладнання Cisco в робочі дні з 9.00 до 18.00. </w:t>
      </w:r>
    </w:p>
    <w:p>
      <w:pPr>
        <w:pStyle w:val="NormalWeb"/>
        <w:numPr>
          <w:ilvl w:val="1"/>
          <w:numId w:val="3"/>
        </w:numPr>
        <w:suppressAutoHyphens w:val="true"/>
        <w:spacing w:lineRule="auto" w:line="240" w:before="0" w:after="0"/>
        <w:jc w:val="both"/>
        <w:rPr/>
      </w:pPr>
      <w:r>
        <w:rPr/>
        <w:t>приймання запитів на обслуговування протягом 24 годин на добу, 7 днів на тиждень, включаючи вихідні та святкові дні, за телефоном, електронною поштою або через веб-сайт.</w:t>
      </w:r>
    </w:p>
    <w:p>
      <w:pPr>
        <w:pStyle w:val="NormalWeb"/>
        <w:numPr>
          <w:ilvl w:val="1"/>
          <w:numId w:val="3"/>
        </w:numPr>
        <w:suppressAutoHyphens w:val="true"/>
        <w:spacing w:lineRule="auto" w:line="240" w:before="0" w:after="0"/>
        <w:jc w:val="both"/>
        <w:rPr/>
      </w:pPr>
      <w:r>
        <w:rPr/>
        <w:t>діагностика несправності апаратної та програмної частини обладнання дистанційно (по телефону, електронної поштою);</w:t>
      </w:r>
    </w:p>
    <w:p>
      <w:pPr>
        <w:pStyle w:val="NormalWeb"/>
        <w:numPr>
          <w:ilvl w:val="1"/>
          <w:numId w:val="3"/>
        </w:numPr>
        <w:suppressAutoHyphens w:val="true"/>
        <w:spacing w:lineRule="auto" w:line="240" w:before="0" w:after="0"/>
        <w:jc w:val="both"/>
        <w:rPr/>
      </w:pPr>
      <w:r>
        <w:rPr/>
        <w:t>заміна несправного обладнання Cisco, або його складових частин протягом наступного робочого дня з моменту встановлення несправності (при умові реєстрації запиту Замовником до 15:00 поточного робочого дня) – м.Київ та Київська область;</w:t>
      </w:r>
    </w:p>
    <w:p>
      <w:pPr>
        <w:pStyle w:val="NormalWeb"/>
        <w:numPr>
          <w:ilvl w:val="1"/>
          <w:numId w:val="3"/>
        </w:numPr>
        <w:suppressAutoHyphens w:val="true"/>
        <w:spacing w:lineRule="auto" w:line="240" w:before="0" w:after="0"/>
        <w:jc w:val="both"/>
        <w:rPr/>
      </w:pPr>
      <w:r>
        <w:rPr/>
        <w:t>заміна несправного обладнання Cisco, або його складових частин протягом 3 (трьох) робочих днів  з моменту встановлення несправності (при умові реєстрації запиту Замовником до 15:00 поточного робочого дня);</w:t>
      </w:r>
    </w:p>
    <w:p>
      <w:pPr>
        <w:pStyle w:val="NormalWeb"/>
        <w:numPr>
          <w:ilvl w:val="1"/>
          <w:numId w:val="3"/>
        </w:numPr>
        <w:suppressAutoHyphens w:val="true"/>
        <w:spacing w:lineRule="auto" w:line="240" w:before="0" w:after="0"/>
        <w:jc w:val="both"/>
        <w:rPr/>
      </w:pPr>
      <w:r>
        <w:rPr/>
        <w:t>під заміною обладнання вважається надання нового обладнання такої ж моделі (або аналогічного) на заміну того, що вийшло з ладу службою виробника при наявності у Замовника діючого сервісного контракту на дане обладнання і наявному обладнанні на складі виробника або при наявності у Замовника діючого преміум сервісного контракту, який передбачає резервування на складі обладнання, що покривається сервісним контрактом.</w:t>
      </w:r>
    </w:p>
    <w:p>
      <w:pPr>
        <w:pStyle w:val="NormalWeb"/>
        <w:numPr>
          <w:ilvl w:val="1"/>
          <w:numId w:val="3"/>
        </w:numPr>
        <w:suppressAutoHyphens w:val="true"/>
        <w:spacing w:lineRule="auto" w:line="240" w:before="0" w:after="0"/>
        <w:jc w:val="both"/>
        <w:rPr/>
      </w:pPr>
      <w:r>
        <w:rPr/>
        <w:t>оновлення  програмного забезпечення обладнання Cisco;</w:t>
      </w:r>
    </w:p>
    <w:p>
      <w:pPr>
        <w:pStyle w:val="NormalWeb"/>
        <w:numPr>
          <w:ilvl w:val="1"/>
          <w:numId w:val="3"/>
        </w:numPr>
        <w:suppressAutoHyphens w:val="true"/>
        <w:spacing w:lineRule="auto" w:line="240" w:before="0" w:after="0"/>
        <w:jc w:val="both"/>
        <w:rPr/>
      </w:pPr>
      <w:r>
        <w:rPr/>
        <w:t>збір необхідної технічної інформації про поточний стан обладнання Cisco, що обслуговується, для проведення детального аналізу (на вимогу Замовника);</w:t>
      </w:r>
    </w:p>
    <w:p>
      <w:pPr>
        <w:pStyle w:val="NormalWeb"/>
        <w:numPr>
          <w:ilvl w:val="1"/>
          <w:numId w:val="3"/>
        </w:numPr>
        <w:suppressAutoHyphens w:val="true"/>
        <w:spacing w:lineRule="auto" w:line="240" w:before="0" w:after="0"/>
        <w:jc w:val="both"/>
        <w:rPr/>
      </w:pPr>
      <w:r>
        <w:rPr/>
        <w:t>доступ до закритої частини сайту і онлайн бази знань виробника обладнання Cisco;</w:t>
      </w:r>
    </w:p>
    <w:p>
      <w:pPr>
        <w:pStyle w:val="NormalWeb"/>
        <w:numPr>
          <w:ilvl w:val="1"/>
          <w:numId w:val="3"/>
        </w:numPr>
        <w:suppressAutoHyphens w:val="true"/>
        <w:spacing w:lineRule="auto" w:line="240" w:before="0" w:after="0"/>
        <w:jc w:val="both"/>
        <w:rPr/>
      </w:pPr>
      <w:r>
        <w:rPr/>
        <w:t>постійний (протягом 24 годин на добу, 7 днів на тиждень) доступ до Центру Технічної Підтримки Cisco (Cisco TAC), електронною поштою або по телефону;</w:t>
      </w:r>
    </w:p>
    <w:p>
      <w:pPr>
        <w:pStyle w:val="NormalWeb"/>
        <w:numPr>
          <w:ilvl w:val="1"/>
          <w:numId w:val="3"/>
        </w:numPr>
        <w:suppressAutoHyphens w:val="true"/>
        <w:spacing w:lineRule="auto" w:line="240" w:before="0" w:after="0"/>
        <w:jc w:val="both"/>
        <w:rPr/>
      </w:pPr>
      <w:r>
        <w:rPr/>
        <w:t>надання Замовнику основних та перехідних версій програмного забезпечення Cisco за допомогою веб-сайту виробника обладнання.</w:t>
      </w:r>
    </w:p>
    <w:p>
      <w:pPr>
        <w:pStyle w:val="NormalWeb"/>
        <w:numPr>
          <w:ilvl w:val="1"/>
          <w:numId w:val="1"/>
        </w:numPr>
        <w:suppressAutoHyphens w:val="true"/>
        <w:spacing w:lineRule="auto" w:line="240" w:before="0" w:after="0"/>
        <w:jc w:val="both"/>
        <w:rPr/>
      </w:pPr>
      <w:bookmarkStart w:id="5" w:name="_Hlk179385905"/>
      <w:bookmarkStart w:id="6" w:name="_Hlk179385889"/>
      <w:bookmarkEnd w:id="6"/>
      <w:r>
        <w:rPr/>
        <w:t>Технічна та/або сервісна підтримка від Виробника Cisco Systems застосовується до наступного обладнання:</w:t>
      </w:r>
    </w:p>
    <w:p>
      <w:pPr>
        <w:pStyle w:val="NormalWeb"/>
        <w:numPr>
          <w:ilvl w:val="2"/>
          <w:numId w:val="1"/>
        </w:numPr>
        <w:suppressAutoHyphens w:val="true"/>
        <w:spacing w:lineRule="auto" w:line="240" w:before="0" w:after="0"/>
        <w:jc w:val="both"/>
        <w:rPr/>
      </w:pPr>
      <w:r>
        <w:rPr>
          <w:rFonts w:eastAsia="Calibri"/>
        </w:rPr>
        <w:t>Адреси місця розташування обладнання Апаратно-програмного комплексу Замовника Постачальник отримує від Замовника після укладання Договору.</w:t>
      </w:r>
    </w:p>
    <w:p>
      <w:pPr>
        <w:pStyle w:val="NormalWeb"/>
        <w:numPr>
          <w:ilvl w:val="2"/>
          <w:numId w:val="1"/>
        </w:numPr>
        <w:suppressAutoHyphens w:val="true"/>
        <w:spacing w:lineRule="auto" w:line="240" w:before="0" w:after="0"/>
        <w:jc w:val="both"/>
        <w:rPr/>
      </w:pPr>
      <w:r>
        <w:rPr/>
        <w:t xml:space="preserve">Детальний перелік обладнання </w:t>
      </w:r>
      <w:r>
        <w:rPr>
          <w:lang w:val="en-US"/>
        </w:rPr>
        <w:t xml:space="preserve">Cisco </w:t>
      </w:r>
      <w:r>
        <w:rPr/>
        <w:t>Systems включає:</w:t>
      </w:r>
      <w:bookmarkEnd w:id="3"/>
      <w:bookmarkEnd w:id="5"/>
    </w:p>
    <w:p>
      <w:pPr>
        <w:pStyle w:val="NormalWeb"/>
        <w:spacing w:lineRule="auto" w:line="240" w:before="0" w:after="0"/>
        <w:jc w:val="both"/>
        <w:rPr/>
      </w:pPr>
      <w:r>
        <w:rPr/>
      </w:r>
    </w:p>
    <w:tbl>
      <w:tblPr>
        <w:tblStyle w:val="a5"/>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3"/>
        <w:gridCol w:w="13"/>
        <w:gridCol w:w="5092"/>
        <w:gridCol w:w="1559"/>
        <w:gridCol w:w="2266"/>
      </w:tblGrid>
      <w:tr>
        <w:trPr>
          <w:cantSplit w:val="true"/>
        </w:trPr>
        <w:tc>
          <w:tcPr>
            <w:tcW w:w="716" w:type="dxa"/>
            <w:gridSpan w:val="2"/>
            <w:tcBorders/>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w:t>
            </w:r>
          </w:p>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з/п</w:t>
            </w:r>
          </w:p>
        </w:tc>
        <w:tc>
          <w:tcPr>
            <w:tcW w:w="5092" w:type="dxa"/>
            <w:tcBorders/>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 xml:space="preserve"> </w:t>
            </w:r>
            <w:r>
              <w:rPr>
                <w:rFonts w:eastAsia="Calibri" w:cs="Times New Roman" w:ascii="Times New Roman" w:hAnsi="Times New Roman"/>
                <w:b/>
                <w:bCs/>
                <w:kern w:val="0"/>
                <w:sz w:val="24"/>
                <w:szCs w:val="24"/>
                <w:lang w:eastAsia="en-US" w:bidi="ar-SA"/>
              </w:rPr>
              <w:t>Найменування та/або код обладнання</w:t>
            </w:r>
            <w:r>
              <w:rPr>
                <w:rFonts w:eastAsia="Calibri" w:cs="Times New Roman" w:ascii="Times New Roman" w:hAnsi="Times New Roman"/>
                <w:b/>
                <w:bCs/>
                <w:kern w:val="0"/>
                <w:sz w:val="24"/>
                <w:szCs w:val="24"/>
                <w:lang w:val="en-US" w:eastAsia="en-US" w:bidi="ar-SA"/>
              </w:rPr>
              <w:t xml:space="preserve"> </w:t>
            </w:r>
            <w:r>
              <w:rPr>
                <w:rFonts w:eastAsia="Calibri" w:cs="Times New Roman" w:ascii="Times New Roman" w:hAnsi="Times New Roman"/>
                <w:b/>
                <w:bCs/>
                <w:kern w:val="0"/>
                <w:sz w:val="24"/>
                <w:szCs w:val="24"/>
                <w:lang w:eastAsia="en-US" w:bidi="ar-SA"/>
              </w:rPr>
              <w:t>(пристрою)</w:t>
            </w:r>
          </w:p>
        </w:tc>
        <w:tc>
          <w:tcPr>
            <w:tcW w:w="1559" w:type="dxa"/>
            <w:tcBorders/>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 xml:space="preserve"> </w:t>
            </w:r>
            <w:r>
              <w:rPr>
                <w:rFonts w:eastAsia="Calibri" w:cs="Times New Roman" w:ascii="Times New Roman" w:hAnsi="Times New Roman"/>
                <w:b/>
                <w:bCs/>
                <w:kern w:val="0"/>
                <w:sz w:val="24"/>
                <w:szCs w:val="24"/>
                <w:lang w:eastAsia="en-US" w:bidi="ar-SA"/>
              </w:rPr>
              <w:t>Кількість, од.</w:t>
            </w:r>
          </w:p>
        </w:tc>
        <w:tc>
          <w:tcPr>
            <w:tcW w:w="2266" w:type="dxa"/>
            <w:tcBorders/>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Серійний номер*</w:t>
            </w:r>
          </w:p>
        </w:tc>
      </w:tr>
      <w:tr>
        <w:trPr/>
        <w:tc>
          <w:tcPr>
            <w:tcW w:w="703" w:type="dxa"/>
            <w:tcBorders/>
            <w:shd w:color="auto" w:fill="D0CECE" w:themeFill="background2" w:themeFillShade="e6"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1</w:t>
            </w:r>
          </w:p>
        </w:tc>
        <w:tc>
          <w:tcPr>
            <w:tcW w:w="5105" w:type="dxa"/>
            <w:gridSpan w:val="2"/>
            <w:tcBorders/>
            <w:shd w:color="auto" w:fill="D0CECE" w:themeFill="background2" w:themeFillShade="e6"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2</w:t>
            </w:r>
          </w:p>
        </w:tc>
        <w:tc>
          <w:tcPr>
            <w:tcW w:w="1559" w:type="dxa"/>
            <w:tcBorders/>
            <w:shd w:color="auto" w:fill="D0CECE" w:themeFill="background2" w:themeFillShade="e6"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3</w:t>
            </w:r>
          </w:p>
        </w:tc>
        <w:tc>
          <w:tcPr>
            <w:tcW w:w="2266" w:type="dxa"/>
            <w:tcBorders/>
            <w:shd w:color="auto" w:fill="D0CECE" w:themeFill="background2" w:themeFillShade="e6" w:val="clear"/>
            <w:vAlign w:val="center"/>
          </w:tcPr>
          <w:p>
            <w:pPr>
              <w:pStyle w:val="Normal"/>
              <w:widowControl/>
              <w:spacing w:lineRule="auto" w:line="240" w:before="0" w:after="0"/>
              <w:jc w:val="center"/>
              <w:rPr>
                <w:rFonts w:ascii="Times New Roman" w:hAnsi="Times New Roman" w:cs="Times New Roman"/>
                <w:b/>
                <w:b/>
                <w:bCs/>
                <w:sz w:val="24"/>
                <w:szCs w:val="24"/>
              </w:rPr>
            </w:pPr>
            <w:r>
              <w:rPr>
                <w:rFonts w:eastAsia="Calibri" w:cs="Times New Roman" w:ascii="Times New Roman" w:hAnsi="Times New Roman"/>
                <w:b/>
                <w:bCs/>
                <w:kern w:val="0"/>
                <w:sz w:val="24"/>
                <w:szCs w:val="24"/>
                <w:lang w:eastAsia="en-US" w:bidi="ar-SA"/>
              </w:rPr>
              <w:t>4</w:t>
            </w:r>
          </w:p>
        </w:tc>
      </w:tr>
      <w:tr>
        <w:trPr/>
        <w:tc>
          <w:tcPr>
            <w:tcW w:w="9633" w:type="dxa"/>
            <w:gridSpan w:val="5"/>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eastAsia="en-US" w:bidi="ar-SA"/>
              </w:rPr>
              <w:t>Апаратно-програмний комплекс Центрального регіону</w:t>
            </w:r>
          </w:p>
        </w:tc>
      </w:tr>
      <w:tr>
        <w:trPr/>
        <w:tc>
          <w:tcPr>
            <w:tcW w:w="703" w:type="dxa"/>
            <w:vMerge w:val="restart"/>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1</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14:numForm w14:val="lining"/>
              </w:rPr>
              <w:t>Маршрутизатор Cisco Catalyst C8200-1N-4T</w:t>
            </w:r>
          </w:p>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24</w:t>
            </w:r>
          </w:p>
        </w:tc>
        <w:tc>
          <w:tcPr>
            <w:tcW w:w="2266" w:type="dxa"/>
            <w:tcBorders/>
            <w:shd w:color="auto" w:fill="auto" w:val="clear"/>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FCZ2745R21G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FCZ2745R210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FCZ2745R1YL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FCZ2745R20V</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FCZ2745R20K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FCZ2745R206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FCZ2745R1YE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FCZ2745R1Y0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FCZ2745R1XN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FCZ2745R204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FCZ2745R1ZA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FCZ2745R1Z9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FCZ2745R1Z7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FCZ2745R1Z6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FCZ2745R1Z5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FCZ2745R1Z4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FCZ2745R1Z3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FCZ2745R1YM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FCZ2745R22T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FCZ2745R22B</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FCZ2745R21P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FCZ2745R21H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FCZ2745R213</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FCZ2745R216</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14:numForm w14:val="lining"/>
              </w:rPr>
              <w:t>Маршрутизатор Cisco Catalyst C8200-1N-4T</w:t>
            </w:r>
          </w:p>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2"/>
                <w:szCs w:val="22"/>
                <w:lang w:eastAsia="en-US" w:bidi="ar-SA"/>
                <w14:numForm w14:val="lining"/>
              </w:rPr>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4</w:t>
            </w:r>
          </w:p>
        </w:tc>
        <w:tc>
          <w:tcPr>
            <w:tcW w:w="2266" w:type="dxa"/>
            <w:tcBorders/>
            <w:shd w:color="auto" w:fill="auto" w:val="clear"/>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FCZ2745R1VH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FCZ2745R1VG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FCZ2745R1VE</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FCZ2745R1V9</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14:numForm w14:val="lining"/>
              </w:rPr>
              <w:t>Маршрутизатор Cisco Catalyst C8200-1N-4T</w:t>
            </w:r>
          </w:p>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2"/>
                <w:szCs w:val="22"/>
                <w:lang w:eastAsia="en-US" w:bidi="ar-SA"/>
                <w14:numForm w14:val="lining"/>
              </w:rPr>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4</w:t>
            </w:r>
          </w:p>
        </w:tc>
        <w:tc>
          <w:tcPr>
            <w:tcW w:w="2266" w:type="dxa"/>
            <w:tcBorders/>
            <w:shd w:color="auto" w:fill="auto" w:val="clear"/>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FCZ2745R1V4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FCZ2745R1UY</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FCZ2745R1WV</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FCZ2745R1WY</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2</w:t>
            </w:r>
          </w:p>
        </w:tc>
        <w:tc>
          <w:tcPr>
            <w:tcW w:w="5105" w:type="dxa"/>
            <w:gridSpan w:val="2"/>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14:numForm w14:val="lining"/>
              </w:rPr>
              <w:t>Веб-камера Cisco Desk Camera 4K, Carbon Black - Worldwide except US</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5</w:t>
            </w:r>
          </w:p>
        </w:tc>
        <w:tc>
          <w:tcPr>
            <w:tcW w:w="2266" w:type="dxa"/>
            <w:tcBorders/>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ATK27190047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ATK27190049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ATK27190072</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ATK27190020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ATK27190104</w:t>
            </w:r>
          </w:p>
        </w:tc>
      </w:tr>
      <w:tr>
        <w:trPr/>
        <w:tc>
          <w:tcPr>
            <w:tcW w:w="9633" w:type="dxa"/>
            <w:gridSpan w:val="5"/>
            <w:tcBorders/>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b/>
                <w:bCs/>
                <w:kern w:val="0"/>
                <w:sz w:val="24"/>
                <w:szCs w:val="24"/>
                <w:lang w:eastAsia="en-US" w:bidi="ar-SA"/>
              </w:rPr>
              <w:t>Апаратно-програмний комплекс Центрального регіону</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1</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Комутатор Cisco Catalyst 9200L-48P-4X-A (C9200L-48P-4X-A)</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6</w:t>
            </w:r>
          </w:p>
        </w:tc>
        <w:tc>
          <w:tcPr>
            <w:tcW w:w="2266" w:type="dxa"/>
            <w:tcBorders/>
            <w:shd w:color="auto" w:fill="auto" w:val="clear"/>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FOC27171LY3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FOC27171MC5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FOC27171M9Q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FOC27171MFH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FOC27171L0W</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FOC27171KUU</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2</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Міжмережевий екран Cisco Secure Firewall 3110 (FPR3110-NGFW-K9)</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2</w:t>
            </w:r>
          </w:p>
        </w:tc>
        <w:tc>
          <w:tcPr>
            <w:tcW w:w="2266" w:type="dxa"/>
            <w:tcBorders/>
            <w:shd w:color="auto" w:fill="auto" w:val="clear"/>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FJC27431LLS</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FJC27431LLV</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3</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Міжмережевий екран Cisco Firepower 1120 (FPR1120-NGFW-K9)</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20</w:t>
            </w:r>
          </w:p>
        </w:tc>
        <w:tc>
          <w:tcPr>
            <w:tcW w:w="2266" w:type="dxa"/>
            <w:tcBorders/>
            <w:shd w:color="auto" w:fill="auto" w:val="clear"/>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JMX2742X14C</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JMX2742X13M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JMX2742X13G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JMX2742X13J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JMX2742X14D</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JMX2742X14B</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JMX2742X14S</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JMX2742X13N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JMX2742X13Q</w:t>
            </w:r>
          </w:p>
        </w:tc>
      </w:tr>
      <w:tr>
        <w:trPr/>
        <w:tc>
          <w:tcPr>
            <w:tcW w:w="703" w:type="dxa"/>
            <w:vMerge w:val="restart"/>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4</w:t>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14:numForm w14:val="lining"/>
              </w:rPr>
              <w:t>Маршрутизатор Cisco Catalyst C8200-1N-4T</w:t>
            </w:r>
          </w:p>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4</w:t>
            </w:r>
          </w:p>
        </w:tc>
        <w:tc>
          <w:tcPr>
            <w:tcW w:w="2266" w:type="dxa"/>
            <w:tcBorders/>
            <w:shd w:color="auto" w:fill="auto" w:val="clear"/>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FCZ2743R0DT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FCZ2745R1X1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FCZ2745R1WN</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FCZ2745R1WG</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14:numForm w14:val="lining"/>
              </w:rPr>
              <w:t>Маршрутизатор Cisco Catalyst C8200-1N-4T</w:t>
            </w:r>
          </w:p>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2"/>
                <w:szCs w:val="22"/>
                <w:lang w:eastAsia="en-US" w:bidi="ar-SA"/>
                <w14:numForm w14:val="lining"/>
              </w:rPr>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28</w:t>
            </w:r>
          </w:p>
        </w:tc>
        <w:tc>
          <w:tcPr>
            <w:tcW w:w="2266" w:type="dxa"/>
            <w:tcBorders/>
            <w:shd w:color="auto" w:fill="auto" w:val="clear"/>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FCZ2745R1UH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FCZ2745R1UK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FCZ2745R1UW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FCZ2745R1U8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FCZ2743R0FR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FCZ2743R0G5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FCZ2743R0HM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FCZ2743R0EW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FCZ2745R1ST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FCZ2745R1TU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FCZ2745R1U9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FCZ2745R1SQ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FCZ2745R1SR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FCZ2745R1SU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FCZ2745R1SP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FCZ2745R1SM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FCZ2745R1WZ</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FCZ2745R1ZB</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FCZ2745R1Z8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FCZ2745R1YX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FCZ2745R1YG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FCZ2745R1Y5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FCZ2745R1Y4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FCZ2745R1XJ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FCZ2745R1XG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FCZ2745R1XC</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FCZ2743R0C6</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FCZ2745R1XB</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14:numForm w14:val="lining"/>
              </w:rPr>
              <w:t>Маршрутизатор Cisco Catalyst C8200-1N-4T</w:t>
            </w:r>
          </w:p>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2"/>
                <w:szCs w:val="22"/>
                <w:lang w:eastAsia="en-US" w:bidi="ar-SA"/>
                <w14:numForm w14:val="lining"/>
              </w:rPr>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4</w:t>
            </w:r>
          </w:p>
        </w:tc>
        <w:tc>
          <w:tcPr>
            <w:tcW w:w="2266" w:type="dxa"/>
            <w:tcBorders/>
            <w:shd w:color="auto" w:fill="auto" w:val="clear"/>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FCZ2743R0EN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FCZ2745R1WC</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FCZ2743R0BR</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FCZ2745R1WB</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shd w:color="auto" w:fill="auto" w:val="clear"/>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14:numForm w14:val="lining"/>
              </w:rPr>
              <w:t>Маршрутизатор Cisco Catalyst C8200-1N-4T</w:t>
            </w:r>
          </w:p>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2"/>
                <w:szCs w:val="22"/>
                <w:lang w:eastAsia="en-US" w:bidi="ar-SA"/>
                <w14:numForm w14:val="lining"/>
              </w:rPr>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4</w:t>
            </w:r>
          </w:p>
        </w:tc>
        <w:tc>
          <w:tcPr>
            <w:tcW w:w="2266" w:type="dxa"/>
            <w:tcBorders/>
            <w:shd w:color="auto" w:fill="auto" w:val="clear"/>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FCZ2745R1W6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FCZ2745R1W2</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FCZ2745R1VU</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FCZ2745R1VN</w:t>
            </w:r>
          </w:p>
        </w:tc>
      </w:tr>
      <w:tr>
        <w:trPr/>
        <w:tc>
          <w:tcPr>
            <w:tcW w:w="703" w:type="dxa"/>
            <w:vMerge w:val="restart"/>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5</w:t>
            </w:r>
          </w:p>
        </w:tc>
        <w:tc>
          <w:tcPr>
            <w:tcW w:w="5105" w:type="dxa"/>
            <w:gridSpan w:val="2"/>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Окремі складові Комплексу контакт-центру:</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2"/>
                <w:szCs w:val="22"/>
                <w:lang w:eastAsia="en-US" w:bidi="ar-SA"/>
              </w:rPr>
            </w:r>
          </w:p>
        </w:tc>
        <w:tc>
          <w:tcPr>
            <w:tcW w:w="2266" w:type="dxa"/>
            <w:tcBorders/>
            <w:vAlign w:val="bottom"/>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eastAsia="en-US" w:bidi="ar-SA"/>
              </w:rPr>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rPr>
              <w:t xml:space="preserve">Гарнітура </w:t>
            </w:r>
            <w:r>
              <w:rPr>
                <w:rFonts w:eastAsia="Calibri" w:cs="Times New Roman" w:ascii="Times New Roman" w:hAnsi="Times New Roman"/>
                <w:kern w:val="0"/>
                <w:sz w:val="24"/>
                <w:szCs w:val="24"/>
                <w:lang w:val="en-US" w:eastAsia="en-US" w:bidi="ar-SA"/>
              </w:rPr>
              <w:t>CP</w:t>
            </w:r>
            <w:r>
              <w:rPr>
                <w:rFonts w:eastAsia="Calibri" w:cs="Times New Roman" w:ascii="Times New Roman" w:hAnsi="Times New Roman"/>
                <w:kern w:val="0"/>
                <w:sz w:val="24"/>
                <w:szCs w:val="24"/>
                <w:lang w:eastAsia="en-US" w:bidi="ar-SA"/>
              </w:rPr>
              <w:t>-</w:t>
            </w:r>
            <w:r>
              <w:rPr>
                <w:rFonts w:eastAsia="Calibri" w:cs="Times New Roman" w:ascii="Times New Roman" w:hAnsi="Times New Roman"/>
                <w:kern w:val="0"/>
                <w:sz w:val="24"/>
                <w:szCs w:val="24"/>
                <w:lang w:val="en-US" w:eastAsia="en-US" w:bidi="ar-SA"/>
              </w:rPr>
              <w:t>HS</w:t>
            </w:r>
            <w:r>
              <w:rPr>
                <w:rFonts w:eastAsia="Calibri" w:cs="Times New Roman" w:ascii="Times New Roman" w:hAnsi="Times New Roman"/>
                <w:kern w:val="0"/>
                <w:sz w:val="24"/>
                <w:szCs w:val="24"/>
                <w:lang w:eastAsia="en-US" w:bidi="ar-SA"/>
              </w:rPr>
              <w:t>-</w:t>
            </w:r>
            <w:r>
              <w:rPr>
                <w:rFonts w:eastAsia="Calibri" w:cs="Times New Roman" w:ascii="Times New Roman" w:hAnsi="Times New Roman"/>
                <w:kern w:val="0"/>
                <w:sz w:val="24"/>
                <w:szCs w:val="24"/>
                <w:lang w:val="en-US" w:eastAsia="en-US" w:bidi="ar-SA"/>
              </w:rPr>
              <w:t>W</w:t>
            </w:r>
            <w:r>
              <w:rPr>
                <w:rFonts w:eastAsia="Calibri" w:cs="Times New Roman" w:ascii="Times New Roman" w:hAnsi="Times New Roman"/>
                <w:kern w:val="0"/>
                <w:sz w:val="24"/>
                <w:szCs w:val="24"/>
                <w:lang w:eastAsia="en-US" w:bidi="ar-SA"/>
              </w:rPr>
              <w:t>-532-</w:t>
            </w:r>
            <w:r>
              <w:rPr>
                <w:rFonts w:eastAsia="Calibri" w:cs="Times New Roman" w:ascii="Times New Roman" w:hAnsi="Times New Roman"/>
                <w:kern w:val="0"/>
                <w:sz w:val="24"/>
                <w:szCs w:val="24"/>
                <w:lang w:val="en-US" w:eastAsia="en-US" w:bidi="ar-SA"/>
              </w:rPr>
              <w:t>RJ</w:t>
            </w:r>
            <w:r>
              <w:rPr>
                <w:rFonts w:eastAsia="Calibri" w:cs="Times New Roman" w:ascii="Times New Roman" w:hAnsi="Times New Roman"/>
                <w:kern w:val="0"/>
                <w:sz w:val="24"/>
                <w:szCs w:val="24"/>
                <w:lang w:eastAsia="en-US" w:bidi="ar-SA"/>
              </w:rPr>
              <w:t xml:space="preserve">= </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35</w:t>
            </w:r>
          </w:p>
        </w:tc>
        <w:tc>
          <w:tcPr>
            <w:tcW w:w="2266" w:type="dxa"/>
            <w:tcBorders/>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WZP2735C0JS</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WZP2735C0JJ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WZP2735C0JD</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WZP2735C0JB</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WZP2735C0JA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WZP2735C0J3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WZP2735C0HW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WZP2735C0HV</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WZP2735C0HU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WZP2735C0S4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WZP2735C0S0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WZP2735C0R0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WZP2735C0QZ</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WZP2735C0QE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WZP2735C0Q3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WZP2735C0Q1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WZP2735C0P6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WZP2735C0P1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WZP2735C0NA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WZP2735C0LV</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WZP2735C0LT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WZP2735C0LR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WZP2735C0L0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WZP2735C0KU</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 xml:space="preserve">Настільна-камера </w:t>
            </w:r>
            <w:r>
              <w:rPr>
                <w:rFonts w:eastAsia="Calibri" w:cs="Times New Roman" w:ascii="Times New Roman" w:hAnsi="Times New Roman"/>
                <w:kern w:val="0"/>
                <w:sz w:val="24"/>
                <w:szCs w:val="24"/>
                <w:lang w:val="en-US" w:eastAsia="en-US" w:bidi="ar-SA"/>
              </w:rPr>
              <w:t>CD</w:t>
            </w:r>
            <w:r>
              <w:rPr>
                <w:rFonts w:eastAsia="Calibri" w:cs="Times New Roman" w:ascii="Times New Roman" w:hAnsi="Times New Roman"/>
                <w:kern w:val="0"/>
                <w:sz w:val="24"/>
                <w:szCs w:val="24"/>
                <w:lang w:eastAsia="en-US" w:bidi="ar-SA"/>
              </w:rPr>
              <w:t>-</w:t>
            </w:r>
            <w:r>
              <w:rPr>
                <w:rFonts w:eastAsia="Calibri" w:cs="Times New Roman" w:ascii="Times New Roman" w:hAnsi="Times New Roman"/>
                <w:kern w:val="0"/>
                <w:sz w:val="24"/>
                <w:szCs w:val="24"/>
                <w:lang w:val="en-US" w:eastAsia="en-US" w:bidi="ar-SA"/>
              </w:rPr>
              <w:t>DSKCAM</w:t>
            </w:r>
            <w:r>
              <w:rPr>
                <w:rFonts w:eastAsia="Calibri" w:cs="Times New Roman" w:ascii="Times New Roman" w:hAnsi="Times New Roman"/>
                <w:kern w:val="0"/>
                <w:sz w:val="24"/>
                <w:szCs w:val="24"/>
                <w:lang w:eastAsia="en-US" w:bidi="ar-SA"/>
              </w:rPr>
              <w:t>-</w:t>
            </w:r>
            <w:r>
              <w:rPr>
                <w:rFonts w:eastAsia="Calibri" w:cs="Times New Roman" w:ascii="Times New Roman" w:hAnsi="Times New Roman"/>
                <w:kern w:val="0"/>
                <w:sz w:val="24"/>
                <w:szCs w:val="24"/>
                <w:lang w:val="en-US" w:eastAsia="en-US" w:bidi="ar-SA"/>
              </w:rPr>
              <w:t>C</w:t>
            </w:r>
            <w:r>
              <w:rPr>
                <w:rFonts w:eastAsia="Calibri" w:cs="Times New Roman" w:ascii="Times New Roman" w:hAnsi="Times New Roman"/>
                <w:kern w:val="0"/>
                <w:sz w:val="24"/>
                <w:szCs w:val="24"/>
                <w:lang w:eastAsia="en-US" w:bidi="ar-SA"/>
              </w:rPr>
              <w:t>-</w:t>
            </w:r>
            <w:r>
              <w:rPr>
                <w:rFonts w:eastAsia="Calibri" w:cs="Times New Roman" w:ascii="Times New Roman" w:hAnsi="Times New Roman"/>
                <w:kern w:val="0"/>
                <w:sz w:val="24"/>
                <w:szCs w:val="24"/>
                <w:lang w:val="en-US" w:eastAsia="en-US" w:bidi="ar-SA"/>
              </w:rPr>
              <w:t>WW</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5</w:t>
            </w:r>
          </w:p>
        </w:tc>
        <w:tc>
          <w:tcPr>
            <w:tcW w:w="2266" w:type="dxa"/>
            <w:tcBorders/>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ATK27190009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ATK27190080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ATK27190081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ATK27190096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ATK27190090</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rPr>
              <w:t>Програмна продукція EUR-PS-PRO</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35</w:t>
            </w:r>
          </w:p>
        </w:tc>
        <w:tc>
          <w:tcPr>
            <w:tcW w:w="2266" w:type="dxa"/>
            <w:tcBorders/>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5871333428</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rPr>
              <w:t>Програмна продукція EUR-PS-CUBE-ENH</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256</w:t>
            </w:r>
          </w:p>
        </w:tc>
        <w:tc>
          <w:tcPr>
            <w:tcW w:w="2266" w:type="dxa"/>
            <w:tcBorders/>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5871333406</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tcPr>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rPr>
              <w:t>Програмна продукція EUR-PS-SRST-EP</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35</w:t>
            </w:r>
          </w:p>
        </w:tc>
        <w:tc>
          <w:tcPr>
            <w:tcW w:w="2266"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5871333412</w:t>
            </w:r>
          </w:p>
        </w:tc>
      </w:tr>
      <w:tr>
        <w:trPr/>
        <w:tc>
          <w:tcPr>
            <w:tcW w:w="9633" w:type="dxa"/>
            <w:gridSpan w:val="5"/>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b/>
                <w:bCs/>
                <w:kern w:val="0"/>
                <w:sz w:val="24"/>
                <w:szCs w:val="24"/>
                <w:lang w:eastAsia="en-US" w:bidi="ar-SA"/>
              </w:rPr>
              <w:t>Інше обладнання Інформаційно-комунікаційної системи 112</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1</w:t>
            </w:r>
          </w:p>
        </w:tc>
        <w:tc>
          <w:tcPr>
            <w:tcW w:w="5105" w:type="dxa"/>
            <w:gridSpan w:val="2"/>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Програмна продукція EUR-PS-PRO</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150</w:t>
            </w:r>
          </w:p>
        </w:tc>
        <w:tc>
          <w:tcPr>
            <w:tcW w:w="2266" w:type="dxa"/>
            <w:tcBorders/>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5640554342</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2</w:t>
            </w:r>
          </w:p>
        </w:tc>
        <w:tc>
          <w:tcPr>
            <w:tcW w:w="5105" w:type="dxa"/>
            <w:gridSpan w:val="2"/>
            <w:tcBorders/>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rPr>
              <w:t xml:space="preserve">ІР-телефон типу </w:t>
            </w:r>
            <w:r>
              <w:rPr>
                <w:rFonts w:eastAsia="Calibri" w:cs="Times New Roman" w:ascii="Times New Roman" w:hAnsi="Times New Roman"/>
                <w:kern w:val="0"/>
                <w:sz w:val="24"/>
                <w:szCs w:val="24"/>
                <w:lang w:val="en-US" w:eastAsia="en-US" w:bidi="ar-SA"/>
              </w:rPr>
              <w:t>Cisco UC Phone 7821</w:t>
            </w:r>
          </w:p>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 xml:space="preserve"> </w:t>
            </w:r>
            <w:r>
              <w:rPr>
                <w:rFonts w:eastAsia="Calibri" w:cs="Times New Roman" w:ascii="Times New Roman" w:hAnsi="Times New Roman"/>
                <w:kern w:val="0"/>
                <w:sz w:val="24"/>
                <w:szCs w:val="24"/>
                <w:lang w:val="en-US" w:eastAsia="en-US" w:bidi="ar-SA"/>
              </w:rPr>
              <w:t>(</w:t>
            </w:r>
            <w:r>
              <w:rPr>
                <w:rFonts w:eastAsia="Calibri" w:cs="Times New Roman" w:ascii="Times New Roman" w:hAnsi="Times New Roman"/>
                <w:color w:val="000000"/>
                <w:kern w:val="0"/>
                <w:sz w:val="24"/>
                <w:szCs w:val="24"/>
                <w:lang w:eastAsia="en-US" w:bidi="ar-SA"/>
              </w:rPr>
              <w:t>CP-7821-K9=</w:t>
            </w:r>
            <w:r>
              <w:rPr>
                <w:rFonts w:eastAsia="Calibri" w:cs="Times New Roman" w:ascii="Times New Roman" w:hAnsi="Times New Roman"/>
                <w:color w:val="000000"/>
                <w:kern w:val="0"/>
                <w:sz w:val="24"/>
                <w:szCs w:val="24"/>
                <w:lang w:val="en-US" w:eastAsia="en-US" w:bidi="ar-SA"/>
              </w:rPr>
              <w:t>)</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150</w:t>
            </w:r>
          </w:p>
        </w:tc>
        <w:tc>
          <w:tcPr>
            <w:tcW w:w="2266" w:type="dxa"/>
            <w:tcBorders/>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WZP264007ZZ</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WZP264007ZT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WZP253203E8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WZP253202WC</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WZP253202U2</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WZP253202KW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WZP253203DZ</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WZP253202US</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WZP253202MD</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WZP2532030S</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WZP253202ZM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WZP253202LZ</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WZP253202TB</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WZP253202S5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WZP25320343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WZP2532032V</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WZP253202T4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WZP253202JP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WZP253202LD</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WZP253198F9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WZP253202KS</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WZP2532037E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WZP253202SU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WZP253202RE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WZP253202ND</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WZP2532035K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WZP253202YM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WZP253202TH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WZP253202T8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WZP253202L2</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WZP253202Q5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WZP253202Q9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WZP253198G3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WZP253202XY</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WZP253197YX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WZP253202UZ</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WZP253202JM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WZP253202JL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WZP253202YQ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WZP253199TF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WZP253202WU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WZP253202KR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WZP253203DU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WZP253202KZ</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WZP253202KQ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WZP253202NV</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WZP2532037P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WZP2532031M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WZP253202ZW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WZP253198EN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WZP253202SQ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WZP253202RR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WZP2532033C</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WZP253202YJ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WZP253202LY</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WZP25320319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WZP25320304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WZP253202LV</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WZP253202NY</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WZP253202YY</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WZP253202KP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WZP25320323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WZP253202PX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WZP253202KT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WZP253202Z3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WZP2532030X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WZP253202T1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WZP2532032C</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WZP253202ZK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WZP253202KU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WZP253198RT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WZP2532038U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WZP253202ZX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WZP253202ZF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WZP2531995A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WZP253202QF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WZP253202JY</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WZP253202Y4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WZP253202UB</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WZP253198CF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WZP253202X8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WZP253202ZV</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WZP253202L6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WZP253197MH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WZP2532033M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WZP253202UD</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WZP253202T7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WZP253202SR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WZP253202X5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WZP253202NN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WZP253202MY</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WZP253202TX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WZP253202V3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WZP253202U7</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3</w:t>
            </w:r>
          </w:p>
        </w:tc>
        <w:tc>
          <w:tcPr>
            <w:tcW w:w="5105" w:type="dxa"/>
            <w:gridSpan w:val="2"/>
            <w:tcBorders/>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rPr>
              <w:t xml:space="preserve">Гарнітура </w:t>
            </w:r>
            <w:r>
              <w:rPr>
                <w:rFonts w:eastAsia="Calibri" w:cs="Times New Roman" w:ascii="Times New Roman" w:hAnsi="Times New Roman"/>
                <w:kern w:val="0"/>
                <w:sz w:val="24"/>
                <w:szCs w:val="24"/>
                <w:lang w:val="en-US" w:eastAsia="en-US" w:bidi="ar-SA"/>
              </w:rPr>
              <w:t>CP</w:t>
            </w:r>
            <w:r>
              <w:rPr>
                <w:rFonts w:eastAsia="Calibri" w:cs="Times New Roman" w:ascii="Times New Roman" w:hAnsi="Times New Roman"/>
                <w:kern w:val="0"/>
                <w:sz w:val="24"/>
                <w:szCs w:val="24"/>
                <w:lang w:eastAsia="en-US" w:bidi="ar-SA"/>
              </w:rPr>
              <w:t>-</w:t>
            </w:r>
            <w:r>
              <w:rPr>
                <w:rFonts w:eastAsia="Calibri" w:cs="Times New Roman" w:ascii="Times New Roman" w:hAnsi="Times New Roman"/>
                <w:kern w:val="0"/>
                <w:sz w:val="24"/>
                <w:szCs w:val="24"/>
                <w:lang w:val="en-US" w:eastAsia="en-US" w:bidi="ar-SA"/>
              </w:rPr>
              <w:t>HS</w:t>
            </w:r>
            <w:r>
              <w:rPr>
                <w:rFonts w:eastAsia="Calibri" w:cs="Times New Roman" w:ascii="Times New Roman" w:hAnsi="Times New Roman"/>
                <w:kern w:val="0"/>
                <w:sz w:val="24"/>
                <w:szCs w:val="24"/>
                <w:lang w:eastAsia="en-US" w:bidi="ar-SA"/>
              </w:rPr>
              <w:t>-</w:t>
            </w:r>
            <w:r>
              <w:rPr>
                <w:rFonts w:eastAsia="Calibri" w:cs="Times New Roman" w:ascii="Times New Roman" w:hAnsi="Times New Roman"/>
                <w:kern w:val="0"/>
                <w:sz w:val="24"/>
                <w:szCs w:val="24"/>
                <w:lang w:val="en-US" w:eastAsia="en-US" w:bidi="ar-SA"/>
              </w:rPr>
              <w:t>W</w:t>
            </w:r>
            <w:r>
              <w:rPr>
                <w:rFonts w:eastAsia="Calibri" w:cs="Times New Roman" w:ascii="Times New Roman" w:hAnsi="Times New Roman"/>
                <w:kern w:val="0"/>
                <w:sz w:val="24"/>
                <w:szCs w:val="24"/>
                <w:lang w:eastAsia="en-US" w:bidi="ar-SA"/>
              </w:rPr>
              <w:t>-532-</w:t>
            </w:r>
            <w:r>
              <w:rPr>
                <w:rFonts w:eastAsia="Calibri" w:cs="Times New Roman" w:ascii="Times New Roman" w:hAnsi="Times New Roman"/>
                <w:kern w:val="0"/>
                <w:sz w:val="24"/>
                <w:szCs w:val="24"/>
                <w:lang w:val="en-US" w:eastAsia="en-US" w:bidi="ar-SA"/>
              </w:rPr>
              <w:t>RJ</w:t>
            </w:r>
            <w:r>
              <w:rPr>
                <w:rFonts w:eastAsia="Calibri" w:cs="Times New Roman" w:ascii="Times New Roman" w:hAnsi="Times New Roman"/>
                <w:kern w:val="0"/>
                <w:sz w:val="24"/>
                <w:szCs w:val="24"/>
                <w:lang w:eastAsia="en-US" w:bidi="ar-SA"/>
              </w:rPr>
              <w:t xml:space="preserve">= </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150</w:t>
            </w:r>
          </w:p>
        </w:tc>
        <w:tc>
          <w:tcPr>
            <w:tcW w:w="2266" w:type="dxa"/>
            <w:tcBorders/>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WFG2423C216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WFG2423C1RJ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WFG2423C1CL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WFG2424C0L8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WFG2423C1GU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WFG2423C1RQ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WFG2424C0KX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WFG2423C1TJ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WFG2423C1CG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WFG2424C0GT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WFG2423C1X5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WFG2423C1KU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WFG2423C1HM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WFG2424C0G6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WFG2423C1Q9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WFG2424C0E9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WFG2423C21M</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WFG2423C1QL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WFG2423C1EB</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WFG2423C199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WFG2424C0GE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WFG2423C1UY</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WFG2423C1KE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WFG2423C217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WFG2423C1F3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WFG2423C1PA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WFG2424C0DP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WFG2424C0KH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WFG2423C1A1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WFG2423C1A3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WFG2423C1H8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WFG2423C1F4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WFG2424C0C3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WFG2423C1V6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WFG2424C0G2</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WFG2423C1ET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WFG2424C0BQ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WFG2424C0FU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WFG2423C21S</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WFG2423C1T7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WFG2424C0L4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WFG2424C0LZ</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WFG2424C0GG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WFG2423C1HT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WFG2423C21P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WFG2424C0LQ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WFG2423C18U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WFG2423C1W0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WFG2424C0D7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WFG2424C0FW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WFG2424C0HP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WFG2423C1PX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WFG2423C1T8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WFG2423C1HE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WFG2423C1Y3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WFG2423C1R7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WFG2423C1H1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WFG2423C1D2</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WFG2423C1HJ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WFG2423C1GF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WFG2423C1TL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WFG2424C0C9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WFG2424C0GA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WFG2423C1N4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WFG2423C1PD</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WFG2423C1R6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WFG2423C1W2</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WFG2424C0G8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WFG2424C0FY</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WFG2423C1R8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WFG2424C0FQ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WFG2424C0KJ</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WFG2423C1JC</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WFG2424C0FB</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WFG2424C0K4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WFG2423C1GH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WFG2423C222</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WFG2424C0DR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WFG2423C1U5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WFG2423C1A8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WFG2423C1HP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WFG2424C0GW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WFG2423C1A9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WFG2424C0KN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WFG2423C1G4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WFG2424C0K0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WFG2423C1GS</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WFG2423C1PU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WFG2423C1FH</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WFG2423C1QG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WFG2424C0HT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WFG2424C0JT</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WFG2423C19C</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WFG2423C1PS</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WFG2423C1VG</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WFG2424C0F0</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WFG2423C1VE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WFG2423C1D9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WFG2423C1Y1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WFG2424C0C8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WFG2424C0EW</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WFG2424C0E5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WFG2423C1BV</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WFG2423C1P4</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WFG2423C1Q5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WFG2423C226</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WFG2423C1JD</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WFG2423C1VR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WFG2424C0DX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WFG2424C0H2</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WFG2423C1XX</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WFG2424C0MA</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WFG2424C0FZ</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WFG2424C0M8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WFG2423C17L</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WFG2423C1BK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WFG2424C0M5</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WFG2423C21V</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WFG2424C0KK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WFG2424C0H1</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WFG2424C0M9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WFG2424C0JR</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WFG2423C1QF</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WFG2423C1V9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WFG2423C1M7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WFG2423C1PC</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WFG2423C1JE</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WFG2423C1JN</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WFG2423C1HU</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WFG2423C1B9</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WFG2424C0JK</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WFG2423C1QP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WFG2423C1Y7</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WFG2424C0DQ</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WFG2423C1JP</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WFG2424C0FX</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4</w:t>
            </w:r>
          </w:p>
        </w:tc>
        <w:tc>
          <w:tcPr>
            <w:tcW w:w="5105" w:type="dxa"/>
            <w:gridSpan w:val="2"/>
            <w:tcBorders/>
          </w:tcPr>
          <w:p>
            <w:pPr>
              <w:pStyle w:val="Normal"/>
              <w:widowControl/>
              <w:spacing w:lineRule="auto" w:line="240" w:before="0" w:after="0"/>
              <w:jc w:val="left"/>
              <w:rPr>
                <w:rFonts w:ascii="Times New Roman" w:hAnsi="Times New Roman" w:cs="Times New Roman"/>
                <w:color w:val="000000"/>
                <w:sz w:val="24"/>
                <w:szCs w:val="24"/>
                <w:lang w:val="en-US"/>
              </w:rPr>
            </w:pPr>
            <w:r>
              <w:rPr>
                <w:rFonts w:eastAsia="Calibri" w:cs="Times New Roman" w:ascii="Times New Roman" w:hAnsi="Times New Roman"/>
                <w:kern w:val="0"/>
                <w:sz w:val="24"/>
                <w:szCs w:val="24"/>
                <w:lang w:eastAsia="en-US" w:bidi="ar-SA"/>
                <w14:numForm w14:val="lining"/>
              </w:rPr>
              <w:t xml:space="preserve">Комутатор Cisco Catalyst </w:t>
            </w:r>
            <w:r>
              <w:rPr>
                <w:rFonts w:eastAsia="Calibri" w:cs="Times New Roman" w:ascii="Times New Roman" w:hAnsi="Times New Roman"/>
                <w:color w:val="000000"/>
                <w:kern w:val="0"/>
                <w:sz w:val="24"/>
                <w:szCs w:val="24"/>
                <w:lang w:eastAsia="en-US" w:bidi="ar-SA"/>
              </w:rPr>
              <w:t>9200L-48P-4G-E</w:t>
            </w:r>
          </w:p>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 xml:space="preserve"> </w:t>
            </w:r>
            <w:r>
              <w:rPr>
                <w:rFonts w:eastAsia="Calibri" w:cs="Times New Roman" w:ascii="Times New Roman" w:hAnsi="Times New Roman"/>
                <w:kern w:val="0"/>
                <w:sz w:val="24"/>
                <w:szCs w:val="24"/>
                <w:lang w:eastAsia="en-US" w:bidi="ar-SA"/>
                <w14:numForm w14:val="lining"/>
              </w:rPr>
              <w:t>(</w:t>
            </w:r>
            <w:r>
              <w:rPr>
                <w:rFonts w:eastAsia="Calibri" w:cs="Times New Roman" w:ascii="Times New Roman" w:hAnsi="Times New Roman"/>
                <w:color w:val="000000"/>
                <w:kern w:val="0"/>
                <w:sz w:val="24"/>
                <w:szCs w:val="24"/>
                <w:lang w:eastAsia="en-US" w:bidi="ar-SA"/>
              </w:rPr>
              <w:t>C9200L-48P-4G-E</w:t>
            </w:r>
            <w:r>
              <w:rPr>
                <w:rFonts w:eastAsia="Calibri" w:cs="Times New Roman" w:ascii="Times New Roman" w:hAnsi="Times New Roman"/>
                <w:kern w:val="0"/>
                <w:sz w:val="24"/>
                <w:szCs w:val="24"/>
                <w:lang w:eastAsia="en-US" w:bidi="ar-SA"/>
                <w14:numForm w14:val="lining"/>
              </w:rPr>
              <w:t>)</w:t>
            </w:r>
          </w:p>
        </w:tc>
        <w:tc>
          <w:tcPr>
            <w:tcW w:w="1559"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4</w:t>
            </w:r>
          </w:p>
        </w:tc>
        <w:tc>
          <w:tcPr>
            <w:tcW w:w="2266" w:type="dxa"/>
            <w:tcBorders/>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FOC25334BL3</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FOC25334BKP</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FOC25334BRC</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FOC25334BNE</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5</w:t>
            </w:r>
          </w:p>
        </w:tc>
        <w:tc>
          <w:tcPr>
            <w:tcW w:w="5105" w:type="dxa"/>
            <w:gridSpan w:val="2"/>
            <w:tcBorders/>
          </w:tcPr>
          <w:p>
            <w:pPr>
              <w:pStyle w:val="Normal"/>
              <w:widowControl/>
              <w:spacing w:lineRule="auto" w:line="240" w:before="0" w:after="0"/>
              <w:jc w:val="left"/>
              <w:rPr>
                <w:rFonts w:ascii="Times New Roman" w:hAnsi="Times New Roman" w:cs="Times New Roman"/>
                <w:color w:val="000000"/>
                <w:sz w:val="24"/>
                <w:szCs w:val="24"/>
                <w:lang w:val="en-US"/>
              </w:rPr>
            </w:pPr>
            <w:r>
              <w:rPr>
                <w:rFonts w:eastAsia="Calibri" w:cs="Times New Roman" w:ascii="Times New Roman" w:hAnsi="Times New Roman"/>
                <w:kern w:val="0"/>
                <w:sz w:val="24"/>
                <w:szCs w:val="24"/>
                <w:lang w:eastAsia="en-US" w:bidi="ar-SA"/>
                <w14:numForm w14:val="lining"/>
              </w:rPr>
              <w:t xml:space="preserve">Комутатор Cisco Catalyst </w:t>
            </w:r>
            <w:r>
              <w:rPr>
                <w:rFonts w:eastAsia="Calibri" w:cs="Times New Roman" w:ascii="Times New Roman" w:hAnsi="Times New Roman"/>
                <w:color w:val="000000"/>
                <w:kern w:val="0"/>
                <w:sz w:val="24"/>
                <w:szCs w:val="24"/>
                <w:lang w:eastAsia="en-US" w:bidi="ar-SA"/>
              </w:rPr>
              <w:t>9300-24T-A</w:t>
            </w:r>
          </w:p>
          <w:p>
            <w:pPr>
              <w:pStyle w:val="Normal"/>
              <w:widowControl/>
              <w:spacing w:lineRule="auto" w:line="240" w:before="0" w:after="0"/>
              <w:jc w:val="left"/>
              <w:rPr>
                <w:rFonts w:ascii="Times New Roman" w:hAnsi="Times New Roman" w:cs="Times New Roman"/>
                <w:sz w:val="24"/>
                <w:szCs w:val="24"/>
                <w14:numForm w14:val="lining"/>
              </w:rPr>
            </w:pPr>
            <w:r>
              <w:rPr>
                <w:rFonts w:eastAsia="Calibri" w:cs="Times New Roman" w:ascii="Times New Roman" w:hAnsi="Times New Roman"/>
                <w:kern w:val="0"/>
                <w:sz w:val="24"/>
                <w:szCs w:val="24"/>
                <w:lang w:eastAsia="en-US" w:bidi="ar-SA"/>
                <w14:numForm w14:val="lining"/>
              </w:rPr>
              <w:t xml:space="preserve"> </w:t>
            </w:r>
            <w:r>
              <w:rPr>
                <w:rFonts w:eastAsia="Calibri" w:cs="Times New Roman" w:ascii="Times New Roman" w:hAnsi="Times New Roman"/>
                <w:kern w:val="0"/>
                <w:sz w:val="24"/>
                <w:szCs w:val="24"/>
                <w:lang w:eastAsia="en-US" w:bidi="ar-SA"/>
                <w14:numForm w14:val="lining"/>
              </w:rPr>
              <w:t>(</w:t>
            </w:r>
            <w:r>
              <w:rPr>
                <w:rFonts w:eastAsia="Calibri" w:cs="Times New Roman" w:ascii="Times New Roman" w:hAnsi="Times New Roman"/>
                <w:color w:val="000000"/>
                <w:kern w:val="0"/>
                <w:sz w:val="24"/>
                <w:szCs w:val="24"/>
                <w:lang w:eastAsia="en-US" w:bidi="ar-SA"/>
              </w:rPr>
              <w:t>C9300-24T-A</w:t>
            </w:r>
            <w:r>
              <w:rPr>
                <w:rFonts w:eastAsia="Calibri" w:cs="Times New Roman" w:ascii="Times New Roman" w:hAnsi="Times New Roman"/>
                <w:kern w:val="0"/>
                <w:sz w:val="24"/>
                <w:szCs w:val="24"/>
                <w:lang w:eastAsia="en-US" w:bidi="ar-SA"/>
                <w14:numForm w14:val="lining"/>
              </w:rPr>
              <w:t>)</w:t>
            </w:r>
          </w:p>
        </w:tc>
        <w:tc>
          <w:tcPr>
            <w:tcW w:w="1559"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2</w:t>
            </w:r>
          </w:p>
        </w:tc>
        <w:tc>
          <w:tcPr>
            <w:tcW w:w="2266" w:type="dxa"/>
            <w:tcBorders/>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FOC2536YG14</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FOC2536YFYS</w:t>
            </w:r>
          </w:p>
        </w:tc>
      </w:tr>
      <w:tr>
        <w:trPr/>
        <w:tc>
          <w:tcPr>
            <w:tcW w:w="703" w:type="dxa"/>
            <w:vMerge w:val="restart"/>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6</w:t>
            </w:r>
          </w:p>
        </w:tc>
        <w:tc>
          <w:tcPr>
            <w:tcW w:w="5105" w:type="dxa"/>
            <w:gridSpan w:val="2"/>
            <w:tcBorders/>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4"/>
                <w:szCs w:val="24"/>
                <w:lang w:eastAsia="en-US" w:bidi="ar-SA"/>
                <w14:numForm w14:val="lining"/>
              </w:rPr>
              <w:t xml:space="preserve">Міжмережевий екран Cisco Firepower </w:t>
            </w:r>
            <w:r>
              <w:rPr>
                <w:rFonts w:eastAsia="Calibri" w:cs="Times New Roman" w:ascii="Times New Roman" w:hAnsi="Times New Roman"/>
                <w:kern w:val="0"/>
                <w:sz w:val="24"/>
                <w:szCs w:val="24"/>
                <w:lang w:val="en-US" w:eastAsia="en-US" w:bidi="ar-SA"/>
                <w14:numForm w14:val="lining"/>
              </w:rPr>
              <w:t>2</w:t>
            </w:r>
            <w:r>
              <w:rPr>
                <w:rFonts w:eastAsia="Calibri" w:cs="Times New Roman" w:ascii="Times New Roman" w:hAnsi="Times New Roman"/>
                <w:kern w:val="0"/>
                <w:sz w:val="24"/>
                <w:szCs w:val="24"/>
                <w:lang w:eastAsia="en-US" w:bidi="ar-SA"/>
                <w14:numForm w14:val="lining"/>
              </w:rPr>
              <w:t>120 (</w:t>
            </w:r>
            <w:r>
              <w:rPr>
                <w:rFonts w:eastAsia="Calibri" w:cs="Times New Roman" w:ascii="Times New Roman" w:hAnsi="Times New Roman"/>
                <w:color w:val="000000"/>
                <w:kern w:val="0"/>
                <w:sz w:val="24"/>
                <w:szCs w:val="24"/>
                <w:lang w:eastAsia="en-US" w:bidi="ar-SA"/>
              </w:rPr>
              <w:t>FPR2120-NGFW-K9</w:t>
            </w:r>
            <w:r>
              <w:rPr>
                <w:rFonts w:eastAsia="Calibri" w:cs="Times New Roman" w:ascii="Times New Roman" w:hAnsi="Times New Roman"/>
                <w:kern w:val="0"/>
                <w:sz w:val="24"/>
                <w:szCs w:val="24"/>
                <w:lang w:eastAsia="en-US" w:bidi="ar-SA"/>
                <w14:numForm w14:val="lining"/>
              </w:rPr>
              <w:t>)</w:t>
            </w:r>
          </w:p>
        </w:tc>
        <w:tc>
          <w:tcPr>
            <w:tcW w:w="1559" w:type="dxa"/>
            <w:tcBorders/>
          </w:tcPr>
          <w:p>
            <w:pPr>
              <w:pStyle w:val="Normal"/>
              <w:widowControl/>
              <w:spacing w:lineRule="auto" w:line="240" w:before="0" w:after="0"/>
              <w:jc w:val="center"/>
              <w:rPr>
                <w:rFonts w:ascii="Times New Roman" w:hAnsi="Times New Roman" w:cs="Times New Roman"/>
                <w:color w:val="000000"/>
                <w:sz w:val="24"/>
                <w:szCs w:val="24"/>
              </w:rPr>
            </w:pPr>
            <w:r>
              <w:rPr>
                <w:rFonts w:eastAsia="Calibri" w:cs="Times New Roman" w:ascii="Times New Roman" w:hAnsi="Times New Roman"/>
                <w:kern w:val="0"/>
                <w:sz w:val="24"/>
                <w:szCs w:val="24"/>
                <w:lang w:val="en-US" w:eastAsia="en-US" w:bidi="ar-SA"/>
              </w:rPr>
              <w:t>2</w:t>
            </w:r>
          </w:p>
        </w:tc>
        <w:tc>
          <w:tcPr>
            <w:tcW w:w="2266" w:type="dxa"/>
            <w:vMerge w:val="restart"/>
            <w:tcBorders/>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FCZ2540R098</w:t>
            </w:r>
          </w:p>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FCZ2540R096</w:t>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L-FPR2120T-TMC=</w:t>
            </w:r>
          </w:p>
        </w:tc>
        <w:tc>
          <w:tcPr>
            <w:tcW w:w="1559" w:type="dxa"/>
            <w:tcBorders/>
          </w:tcPr>
          <w:p>
            <w:pPr>
              <w:pStyle w:val="Normal"/>
              <w:widowControl/>
              <w:spacing w:lineRule="auto" w:line="240" w:before="0" w:after="0"/>
              <w:jc w:val="center"/>
              <w:rPr>
                <w:rFonts w:ascii="Times New Roman" w:hAnsi="Times New Roman" w:cs="Times New Roman"/>
                <w:color w:val="000000"/>
                <w:sz w:val="24"/>
                <w:szCs w:val="24"/>
              </w:rPr>
            </w:pPr>
            <w:r>
              <w:rPr>
                <w:rFonts w:eastAsia="Calibri" w:cs="Times New Roman" w:ascii="Times New Roman" w:hAnsi="Times New Roman"/>
                <w:kern w:val="0"/>
                <w:sz w:val="24"/>
                <w:szCs w:val="24"/>
                <w:lang w:val="en-US" w:eastAsia="en-US" w:bidi="ar-SA"/>
              </w:rPr>
              <w:t>2</w:t>
            </w:r>
          </w:p>
        </w:tc>
        <w:tc>
          <w:tcPr>
            <w:tcW w:w="2266" w:type="dxa"/>
            <w:vMerge w:val="continue"/>
            <w:tcBorders/>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r>
      <w:tr>
        <w:trPr/>
        <w:tc>
          <w:tcPr>
            <w:tcW w:w="703" w:type="dxa"/>
            <w:vMerge w:val="continue"/>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2"/>
                <w:szCs w:val="22"/>
                <w:lang w:val="en-US" w:eastAsia="en-US" w:bidi="ar-SA"/>
              </w:rPr>
            </w:r>
          </w:p>
        </w:tc>
        <w:tc>
          <w:tcPr>
            <w:tcW w:w="5105" w:type="dxa"/>
            <w:gridSpan w:val="2"/>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eastAsia="en-US" w:bidi="ar-SA"/>
              </w:rPr>
              <w:t>SF-FMC-VMW-10-K9</w:t>
            </w:r>
          </w:p>
        </w:tc>
        <w:tc>
          <w:tcPr>
            <w:tcW w:w="1559"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1</w:t>
            </w:r>
          </w:p>
        </w:tc>
        <w:tc>
          <w:tcPr>
            <w:tcW w:w="2266" w:type="dxa"/>
            <w:tcBorders/>
          </w:tcPr>
          <w:p>
            <w:pPr>
              <w:pStyle w:val="Normal"/>
              <w:widowControl/>
              <w:spacing w:lineRule="auto" w:line="240" w:before="0" w:after="0"/>
              <w:jc w:val="left"/>
              <w:rPr>
                <w:rFonts w:ascii="Times New Roman" w:hAnsi="Times New Roman" w:cs="Times New Roman"/>
                <w:sz w:val="24"/>
                <w:szCs w:val="24"/>
                <w:lang w:val="en-US"/>
              </w:rPr>
            </w:pPr>
            <w:r>
              <w:rPr>
                <w:rFonts w:eastAsia="Calibri" w:cs="Times New Roman" w:ascii="Times New Roman" w:hAnsi="Times New Roman"/>
                <w:color w:val="000000"/>
                <w:kern w:val="0"/>
                <w:sz w:val="24"/>
                <w:szCs w:val="24"/>
                <w:lang w:eastAsia="en-US" w:bidi="ar-SA"/>
              </w:rPr>
              <w:t>5873870551</w:t>
            </w:r>
          </w:p>
        </w:tc>
      </w:tr>
      <w:tr>
        <w:trPr/>
        <w:tc>
          <w:tcPr>
            <w:tcW w:w="703" w:type="dxa"/>
            <w:tcBorders/>
          </w:tcPr>
          <w:p>
            <w:pPr>
              <w:pStyle w:val="Normal"/>
              <w:widowControl/>
              <w:spacing w:lineRule="auto" w:line="240" w:before="0" w:after="0"/>
              <w:jc w:val="center"/>
              <w:rPr>
                <w:rFonts w:ascii="Times New Roman" w:hAnsi="Times New Roman" w:cs="Times New Roman"/>
                <w:sz w:val="24"/>
                <w:szCs w:val="24"/>
              </w:rPr>
            </w:pPr>
            <w:r>
              <w:rPr>
                <w:rFonts w:eastAsia="Calibri" w:cs="Times New Roman" w:ascii="Times New Roman" w:hAnsi="Times New Roman"/>
                <w:kern w:val="0"/>
                <w:sz w:val="24"/>
                <w:szCs w:val="24"/>
                <w:lang w:eastAsia="en-US" w:bidi="ar-SA"/>
              </w:rPr>
              <w:t>7</w:t>
            </w:r>
          </w:p>
        </w:tc>
        <w:tc>
          <w:tcPr>
            <w:tcW w:w="5105" w:type="dxa"/>
            <w:gridSpan w:val="2"/>
            <w:tcBorders/>
          </w:tcPr>
          <w:p>
            <w:pPr>
              <w:pStyle w:val="Normal"/>
              <w:widowControl/>
              <w:spacing w:lineRule="auto" w:line="240" w:before="0" w:after="0"/>
              <w:jc w:val="left"/>
              <w:rPr>
                <w:rFonts w:ascii="Times New Roman" w:hAnsi="Times New Roman" w:cs="Times New Roman"/>
                <w:color w:val="000000"/>
                <w:sz w:val="24"/>
                <w:szCs w:val="24"/>
                <w:lang w:val="en-US"/>
              </w:rPr>
            </w:pPr>
            <w:r>
              <w:rPr>
                <w:rFonts w:eastAsia="Calibri" w:cs="Times New Roman" w:ascii="Times New Roman" w:hAnsi="Times New Roman"/>
                <w:kern w:val="0"/>
                <w:sz w:val="24"/>
                <w:szCs w:val="24"/>
                <w:lang w:eastAsia="en-US" w:bidi="ar-SA"/>
                <w14:numForm w14:val="lining"/>
              </w:rPr>
              <w:t xml:space="preserve">Маршрутизатор Cisco Catalyst </w:t>
            </w:r>
            <w:r>
              <w:rPr>
                <w:rFonts w:eastAsia="Calibri" w:cs="Times New Roman" w:ascii="Times New Roman" w:hAnsi="Times New Roman"/>
                <w:color w:val="000000"/>
                <w:kern w:val="0"/>
                <w:sz w:val="24"/>
                <w:szCs w:val="24"/>
                <w:lang w:eastAsia="en-US" w:bidi="ar-SA"/>
              </w:rPr>
              <w:t>ISR4451-X-V/K9</w:t>
            </w:r>
            <w:r>
              <w:rPr>
                <w:rFonts w:eastAsia="Calibri" w:cs="Times New Roman" w:ascii="Times New Roman" w:hAnsi="Times New Roman"/>
                <w:color w:val="000000"/>
                <w:kern w:val="0"/>
                <w:sz w:val="24"/>
                <w:szCs w:val="24"/>
                <w:lang w:val="en-US" w:eastAsia="en-US" w:bidi="ar-SA"/>
              </w:rPr>
              <w:t xml:space="preserve"> </w:t>
            </w:r>
          </w:p>
          <w:p>
            <w:pPr>
              <w:pStyle w:val="Normal"/>
              <w:widowControl/>
              <w:spacing w:lineRule="auto" w:line="240" w:before="0" w:after="0"/>
              <w:jc w:val="left"/>
              <w:rPr>
                <w:rFonts w:ascii="Times New Roman" w:hAnsi="Times New Roman" w:cs="Times New Roman"/>
                <w:sz w:val="24"/>
                <w:szCs w:val="24"/>
                <w:lang w:val="en-US"/>
                <w14:numForm w14:val="lining"/>
              </w:rPr>
            </w:pPr>
            <w:r>
              <w:rPr>
                <w:rFonts w:eastAsia="Calibri" w:cs="Times New Roman" w:ascii="Times New Roman" w:hAnsi="Times New Roman"/>
                <w:color w:val="000000"/>
                <w:kern w:val="0"/>
                <w:sz w:val="24"/>
                <w:szCs w:val="24"/>
                <w:lang w:val="en-US" w:eastAsia="en-US" w:bidi="ar-SA"/>
              </w:rPr>
              <w:t>(</w:t>
            </w:r>
            <w:r>
              <w:rPr>
                <w:rFonts w:eastAsia="Calibri" w:cs="Times New Roman" w:ascii="Times New Roman" w:hAnsi="Times New Roman"/>
                <w:color w:val="000000"/>
                <w:kern w:val="0"/>
                <w:sz w:val="24"/>
                <w:szCs w:val="24"/>
                <w:lang w:eastAsia="en-US" w:bidi="ar-SA"/>
              </w:rPr>
              <w:t>ISR4451-X-V/K9)</w:t>
            </w:r>
          </w:p>
        </w:tc>
        <w:tc>
          <w:tcPr>
            <w:tcW w:w="1559" w:type="dxa"/>
            <w:tcBorders/>
          </w:tcPr>
          <w:p>
            <w:pPr>
              <w:pStyle w:val="Normal"/>
              <w:widowControl/>
              <w:spacing w:lineRule="auto" w:line="240" w:before="0" w:after="0"/>
              <w:jc w:val="center"/>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2</w:t>
            </w:r>
          </w:p>
        </w:tc>
        <w:tc>
          <w:tcPr>
            <w:tcW w:w="2266" w:type="dxa"/>
            <w:tcBorders/>
            <w:vAlign w:val="bottom"/>
          </w:tcPr>
          <w:p>
            <w:pPr>
              <w:pStyle w:val="Normal"/>
              <w:widowControl/>
              <w:spacing w:lineRule="auto" w:line="240" w:before="0" w:after="0"/>
              <w:jc w:val="left"/>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eastAsia="en-US" w:bidi="ar-SA"/>
              </w:rPr>
              <w:t>5630671077</w:t>
            </w:r>
          </w:p>
          <w:p>
            <w:pPr>
              <w:pStyle w:val="Normal"/>
              <w:widowControl/>
              <w:spacing w:lineRule="auto" w:line="240" w:before="0" w:after="0"/>
              <w:jc w:val="left"/>
              <w:rPr>
                <w:rFonts w:ascii="Times New Roman" w:hAnsi="Times New Roman" w:cs="Times New Roman"/>
                <w:sz w:val="24"/>
                <w:szCs w:val="24"/>
              </w:rPr>
            </w:pPr>
            <w:bookmarkStart w:id="7" w:name="_Hlk179385949"/>
            <w:r>
              <w:rPr>
                <w:rFonts w:eastAsia="Calibri" w:cs="Times New Roman" w:ascii="Times New Roman" w:hAnsi="Times New Roman"/>
                <w:color w:val="000000"/>
                <w:kern w:val="0"/>
                <w:sz w:val="24"/>
                <w:szCs w:val="24"/>
                <w:lang w:eastAsia="en-US" w:bidi="ar-SA"/>
              </w:rPr>
              <w:t>5630671072</w:t>
            </w:r>
            <w:bookmarkEnd w:id="7"/>
          </w:p>
        </w:tc>
      </w:tr>
    </w:tbl>
    <w:p>
      <w:pPr>
        <w:pStyle w:val="NormalWeb"/>
        <w:spacing w:lineRule="auto" w:line="240" w:before="0" w:after="0"/>
        <w:jc w:val="both"/>
        <w:rPr>
          <w:i/>
          <w:i/>
          <w:iCs/>
        </w:rPr>
      </w:pPr>
      <w:r>
        <w:rPr>
          <w:i/>
          <w:iCs/>
        </w:rPr>
        <w:t>* - Серійні номери однотипного обладнання в таблиці можуть не точно відповідати розподіленню щодо Апаратно-програмних комплексів, однак мають однозначно відноситися до кінцевої інсталяції, а саме  Інформаційно-комунікаційної системи 112.</w:t>
      </w:r>
    </w:p>
    <w:p>
      <w:pPr>
        <w:pStyle w:val="Normal"/>
        <w:tabs>
          <w:tab w:val="clear" w:pos="708"/>
          <w:tab w:val="left" w:pos="855" w:leader="none"/>
        </w:tabs>
        <w:spacing w:lineRule="auto" w:line="240" w:before="0" w:after="0"/>
        <w:ind w:firstLine="426"/>
        <w:jc w:val="both"/>
        <w:rPr>
          <w:rFonts w:ascii="Times New Roman" w:hAnsi="Times New Roman" w:cs="Times New Roman"/>
          <w:bCs/>
          <w:i/>
          <w:i/>
          <w:iCs/>
          <w:sz w:val="24"/>
          <w:szCs w:val="24"/>
        </w:rPr>
      </w:pPr>
      <w:r>
        <w:rPr>
          <w:rFonts w:cs="Times New Roman" w:ascii="Times New Roman" w:hAnsi="Times New Roman"/>
          <w:bCs/>
          <w:i/>
          <w:iCs/>
          <w:sz w:val="24"/>
          <w:szCs w:val="24"/>
        </w:rPr>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 xml:space="preserve">Замовник не вимагає від учасників документальне підтвердження того, що пропоновані ними товари, послуги чи роботи за своїми екологічними чи іншими характеристиками відповідають вимогам, установленим у цій технічній специфікації. </w:t>
      </w:r>
    </w:p>
    <w:p>
      <w:pPr>
        <w:pStyle w:val="Normal"/>
        <w:spacing w:lineRule="auto" w:line="240" w:before="0" w:after="0"/>
        <w:ind w:firstLine="426"/>
        <w:jc w:val="both"/>
        <w:rPr>
          <w:rFonts w:ascii="Times New Roman" w:hAnsi="Times New Roman" w:cs="Times New Roman"/>
          <w:bCs/>
          <w:i/>
          <w:i/>
          <w:iCs/>
          <w:sz w:val="24"/>
          <w:szCs w:val="24"/>
        </w:rPr>
      </w:pPr>
      <w:r>
        <w:rPr>
          <w:rFonts w:cs="Times New Roman" w:ascii="Times New Roman" w:hAnsi="Times New Roman"/>
          <w:bCs/>
          <w:i/>
          <w:iCs/>
          <w:sz w:val="24"/>
          <w:szCs w:val="24"/>
        </w:rPr>
      </w:r>
    </w:p>
    <w:p>
      <w:pPr>
        <w:pStyle w:val="Normal"/>
        <w:spacing w:lineRule="auto" w:line="240" w:before="0" w:after="0"/>
        <w:ind w:firstLine="426"/>
        <w:jc w:val="both"/>
        <w:rPr>
          <w:rFonts w:ascii="Times New Roman" w:hAnsi="Times New Roman" w:cs="Times New Roman"/>
          <w:bCs/>
          <w:i/>
          <w:i/>
          <w:iCs/>
          <w:sz w:val="24"/>
          <w:szCs w:val="24"/>
        </w:rPr>
      </w:pPr>
      <w:r>
        <w:rPr>
          <w:rFonts w:cs="Times New Roman" w:ascii="Times New Roman" w:hAnsi="Times New Roman"/>
          <w:bCs/>
          <w:i/>
          <w:iCs/>
          <w:sz w:val="24"/>
          <w:szCs w:val="24"/>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Pr>
          <w:rFonts w:cs="Times New Roman" w:ascii="Times New Roman" w:hAnsi="Times New Roman"/>
          <w:bCs/>
          <w:i/>
          <w:iCs/>
          <w:sz w:val="24"/>
          <w:szCs w:val="24"/>
          <w:u w:val="single"/>
        </w:rPr>
        <w:t>Після кожного такого посилання слід вважати наявний вираз «або еквівалент».</w:t>
      </w:r>
      <w:r>
        <w:rPr>
          <w:rFonts w:cs="Times New Roman" w:ascii="Times New Roman" w:hAnsi="Times New Roman"/>
          <w:bCs/>
          <w:i/>
          <w:iCs/>
          <w:sz w:val="24"/>
          <w:szCs w:val="24"/>
        </w:rPr>
        <w:t xml:space="preserve"> </w:t>
      </w:r>
    </w:p>
    <w:p>
      <w:pPr>
        <w:pStyle w:val="Normal"/>
        <w:spacing w:lineRule="auto" w:line="240" w:before="0" w:after="0"/>
        <w:ind w:firstLine="426"/>
        <w:jc w:val="both"/>
        <w:rPr>
          <w:rFonts w:ascii="Times New Roman" w:hAnsi="Times New Roman" w:cs="Times New Roman"/>
          <w:bCs/>
          <w:i/>
          <w:i/>
          <w:iCs/>
          <w:sz w:val="24"/>
          <w:szCs w:val="24"/>
          <w:u w:val="single"/>
        </w:rPr>
      </w:pPr>
      <w:r>
        <w:rPr>
          <w:rFonts w:cs="Times New Roman" w:ascii="Times New Roman" w:hAnsi="Times New Roman"/>
          <w:bCs/>
          <w:i/>
          <w:iCs/>
          <w:sz w:val="24"/>
          <w:szCs w:val="24"/>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Pr>
          <w:rFonts w:cs="Times New Roman" w:ascii="Times New Roman" w:hAnsi="Times New Roman"/>
          <w:bCs/>
          <w:i/>
          <w:iCs/>
          <w:sz w:val="24"/>
          <w:szCs w:val="24"/>
          <w:u w:val="single"/>
        </w:rPr>
        <w:t xml:space="preserve">Після кожного такого посилання слід вважати наявний вираз «або еквівалент». </w:t>
      </w:r>
    </w:p>
    <w:p>
      <w:pPr>
        <w:pStyle w:val="Normal"/>
        <w:widowControl w:val="false"/>
        <w:spacing w:lineRule="auto" w:line="240" w:before="0" w:after="0"/>
        <w:ind w:right="-1" w:hanging="0"/>
        <w:jc w:val="both"/>
        <w:rPr>
          <w:rFonts w:ascii="Times New Roman" w:hAnsi="Times New Roman" w:cs="Times New Roman"/>
          <w:color w:val="000000"/>
          <w:sz w:val="24"/>
          <w:szCs w:val="24"/>
        </w:rPr>
      </w:pPr>
      <w:r>
        <w:rPr>
          <w:rFonts w:cs="Times New Roman" w:ascii="Times New Roman" w:hAnsi="Times New Roman"/>
          <w:bCs/>
          <w:i/>
          <w:iCs/>
          <w:sz w:val="24"/>
          <w:szCs w:val="24"/>
          <w:lang w:eastAsia="zh-CN"/>
        </w:rPr>
        <w:t>«Або еквівалент»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5. Обґрунтування розміру бюджетного призначення:</w:t>
      </w:r>
      <w:r>
        <w:rPr>
          <w:rFonts w:eastAsia="Times New Roman" w:cs="Times New Roman" w:ascii="Times New Roman" w:hAnsi="Times New Roman"/>
          <w:sz w:val="24"/>
          <w:szCs w:val="24"/>
          <w:lang w:eastAsia="ru-RU"/>
        </w:rPr>
        <w:t xml:space="preserve"> 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6. Очікувана вартість предмета закупівлі:</w:t>
      </w:r>
      <w:r>
        <w:rPr>
          <w:rFonts w:eastAsia="Times New Roman" w:cs="Times New Roman" w:ascii="Times New Roman" w:hAnsi="Times New Roman"/>
          <w:sz w:val="24"/>
          <w:szCs w:val="24"/>
          <w:lang w:eastAsia="ru-RU"/>
        </w:rPr>
        <w:t xml:space="preserve"> 9 347 033,21 грн. (дев’ять мільйонів триста сорок сім тисяч тридцять три гривні 21 коп.) з ПДВ. </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b/>
          <w:sz w:val="24"/>
          <w:szCs w:val="24"/>
          <w:lang w:eastAsia="ru-RU"/>
        </w:rPr>
        <w:t>7. Обґрунтування очікуваної вартості предмета закупівлі:</w:t>
      </w:r>
      <w:r>
        <w:rPr>
          <w:rFonts w:eastAsia="Times New Roman" w:cs="Times New Roman" w:ascii="Times New Roman" w:hAnsi="Times New Roman"/>
          <w:sz w:val="24"/>
          <w:szCs w:val="24"/>
          <w:lang w:eastAsia="ru-RU"/>
        </w:rPr>
        <w:t xml:space="preserve"> 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pPr>
        <w:pStyle w:val="Normal"/>
        <w:widowControl w:val="false"/>
        <w:spacing w:lineRule="auto" w:line="240" w:before="0" w:after="0"/>
        <w:ind w:right="-1" w:hanging="0"/>
        <w:jc w:val="both"/>
        <w:rPr>
          <w:rFonts w:ascii="Times New Roman" w:hAnsi="Times New Roman" w:eastAsia="Times New Roman" w:cs="Times New Roman"/>
          <w:sz w:val="24"/>
          <w:szCs w:val="24"/>
          <w:vertAlign w:val="superscript"/>
          <w:lang w:eastAsia="ru-RU"/>
        </w:rPr>
      </w:pPr>
      <w:r>
        <w:rPr>
          <w:rFonts w:eastAsia="Times New Roman" w:cs="Times New Roman" w:ascii="Times New Roman" w:hAnsi="Times New Roman"/>
          <w:sz w:val="24"/>
          <w:szCs w:val="24"/>
          <w:vertAlign w:val="superscript"/>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b/>
          <w:sz w:val="24"/>
          <w:szCs w:val="24"/>
          <w:lang w:eastAsia="ru-RU"/>
        </w:rPr>
        <w:t>8. Процедура закупівлі:</w:t>
      </w:r>
      <w:r>
        <w:rPr>
          <w:rFonts w:eastAsia="Times New Roman" w:cs="Times New Roman" w:ascii="Times New Roman" w:hAnsi="Times New Roman"/>
          <w:sz w:val="24"/>
          <w:szCs w:val="24"/>
          <w:lang w:eastAsia="ru-RU"/>
        </w:rPr>
        <w:t xml:space="preserve"> Застосовується процедура відкритих торгів з особливостями.</w:t>
      </w:r>
    </w:p>
    <w:p>
      <w:pPr>
        <w:pStyle w:val="Normal"/>
        <w:widowControl w:val="false"/>
        <w:spacing w:lineRule="auto" w:line="240" w:before="0" w:after="0"/>
        <w:ind w:right="-1" w:hanging="0"/>
        <w:jc w:val="both"/>
        <w:rPr>
          <w:rFonts w:ascii="Times New Roman" w:hAnsi="Times New Roman" w:eastAsia="Times New Roman" w:cs="Times New Roman"/>
          <w:sz w:val="24"/>
          <w:szCs w:val="24"/>
          <w:lang w:eastAsia="ru-RU"/>
        </w:rPr>
      </w:pPr>
      <w:r>
        <w:rPr/>
      </w:r>
    </w:p>
    <w:sectPr>
      <w:footerReference w:type="default" r:id="rId2"/>
      <w:type w:val="nextPage"/>
      <w:pgSz w:w="11906" w:h="16838"/>
      <w:pgMar w:left="1418" w:right="851" w:gutter="0" w:header="0" w:top="709" w:footer="709"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Georgia">
    <w:charset w:val="01"/>
    <w:family w:val="roman"/>
    <w:pitch w:val="variable"/>
  </w:font>
  <w:font w:name="Carlito">
    <w:altName w:val="Calibri"/>
    <w:charset w:val="01"/>
    <w:family w:val="swiss"/>
    <w:pitch w:val="variable"/>
  </w:font>
  <w:font w:name="Tms Rmn">
    <w:altName w:val="Times New Roman"/>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8"/>
      </w:rPr>
    </w:pPr>
    <w:r>
      <w:rPr>
        <w:sz w:val="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
    <w:lvl w:ilvl="0">
      <w:start w:val="1"/>
      <w:numFmt w:val="decimal"/>
      <w:lvlText w:val="%1."/>
      <w:lvlJc w:val="left"/>
      <w:pPr>
        <w:tabs>
          <w:tab w:val="num" w:pos="142"/>
        </w:tabs>
        <w:ind w:left="786"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3">
    <w:lvl w:ilvl="0">
      <w:start w:val="1"/>
      <w:numFmt w:val="decimal"/>
      <w:lvlText w:val="%1."/>
      <w:lvlJc w:val="left"/>
      <w:pPr>
        <w:tabs>
          <w:tab w:val="num" w:pos="0"/>
        </w:tabs>
        <w:ind w:left="360" w:hanging="360"/>
      </w:pPr>
      <w:rPr/>
    </w:lvl>
    <w:lvl w:ilvl="1">
      <w:start w:val="1"/>
      <w:numFmt w:val="bullet"/>
      <w:lvlText w:val=""/>
      <w:lvlJc w:val="left"/>
      <w:pPr>
        <w:tabs>
          <w:tab w:val="num" w:pos="0"/>
        </w:tabs>
        <w:ind w:left="720" w:hanging="360"/>
      </w:pPr>
      <w:rPr>
        <w:rFonts w:ascii="Symbol" w:hAnsi="Symbol" w:cs="Symbol" w:hint="default"/>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Heading1">
    <w:name w:val="Heading 1"/>
    <w:basedOn w:val="Normal"/>
    <w:next w:val="Normal"/>
    <w:link w:val="11"/>
    <w:uiPriority w:val="9"/>
    <w:qFormat/>
    <w:rsid w:val="000d1e45"/>
    <w:pPr>
      <w:keepNext w:val="true"/>
      <w:keepLines/>
      <w:widowControl w:val="false"/>
      <w:spacing w:lineRule="auto" w:line="240" w:before="240" w:after="0"/>
      <w:outlineLvl w:val="0"/>
    </w:pPr>
    <w:rPr>
      <w:rFonts w:ascii="Calibri" w:hAnsi="Calibri" w:eastAsia="Calibri" w:cs="Calibri"/>
      <w:color w:val="2E75B5"/>
      <w:sz w:val="32"/>
      <w:szCs w:val="32"/>
      <w:lang w:eastAsia="uk-UA"/>
    </w:rPr>
  </w:style>
  <w:style w:type="paragraph" w:styleId="Heading2">
    <w:name w:val="Heading 2"/>
    <w:basedOn w:val="Normal"/>
    <w:link w:val="21"/>
    <w:uiPriority w:val="9"/>
    <w:qFormat/>
    <w:rsid w:val="00b2511f"/>
    <w:pPr>
      <w:spacing w:lineRule="auto" w:line="240" w:beforeAutospacing="1" w:afterAutospacing="1"/>
      <w:outlineLvl w:val="1"/>
    </w:pPr>
    <w:rPr>
      <w:rFonts w:ascii="Times New Roman" w:hAnsi="Times New Roman" w:eastAsia="Times New Roman" w:cs="Times New Roman"/>
      <w:b/>
      <w:bCs/>
      <w:sz w:val="36"/>
      <w:szCs w:val="36"/>
      <w:lang w:eastAsia="uk-UA"/>
    </w:rPr>
  </w:style>
  <w:style w:type="paragraph" w:styleId="Heading3">
    <w:name w:val="Heading 3"/>
    <w:basedOn w:val="Normal"/>
    <w:next w:val="Normal"/>
    <w:link w:val="3"/>
    <w:uiPriority w:val="9"/>
    <w:semiHidden/>
    <w:unhideWhenUsed/>
    <w:qFormat/>
    <w:rsid w:val="002924c8"/>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2924c8"/>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paragraph" w:styleId="Heading5">
    <w:name w:val="Heading 5"/>
    <w:basedOn w:val="Normal"/>
    <w:next w:val="Normal"/>
    <w:link w:val="5"/>
    <w:uiPriority w:val="9"/>
    <w:semiHidden/>
    <w:unhideWhenUsed/>
    <w:qFormat/>
    <w:rsid w:val="000d1e45"/>
    <w:pPr>
      <w:keepNext w:val="true"/>
      <w:keepLines/>
      <w:widowControl w:val="false"/>
      <w:spacing w:lineRule="auto" w:line="240" w:before="220" w:after="40"/>
      <w:outlineLvl w:val="4"/>
    </w:pPr>
    <w:rPr>
      <w:rFonts w:ascii="Times New Roman" w:hAnsi="Times New Roman" w:eastAsia="Times New Roman" w:cs="Times New Roman"/>
      <w:b/>
      <w:lang w:eastAsia="uk-UA"/>
    </w:rPr>
  </w:style>
  <w:style w:type="paragraph" w:styleId="Heading6">
    <w:name w:val="Heading 6"/>
    <w:basedOn w:val="Normal"/>
    <w:next w:val="Normal"/>
    <w:link w:val="6"/>
    <w:uiPriority w:val="9"/>
    <w:semiHidden/>
    <w:unhideWhenUsed/>
    <w:qFormat/>
    <w:rsid w:val="000d1e45"/>
    <w:pPr>
      <w:keepNext w:val="true"/>
      <w:keepLines/>
      <w:widowControl w:val="false"/>
      <w:spacing w:lineRule="auto" w:line="240" w:before="200" w:after="40"/>
      <w:outlineLvl w:val="5"/>
    </w:pPr>
    <w:rPr>
      <w:rFonts w:ascii="Times New Roman" w:hAnsi="Times New Roman" w:eastAsia="Times New Roman" w:cs="Times New Roman"/>
      <w:b/>
      <w:sz w:val="20"/>
      <w:szCs w:val="20"/>
      <w:lang w:eastAsia="uk-UA"/>
    </w:rPr>
  </w:style>
  <w:style w:type="character" w:styleId="DefaultParagraphFont" w:default="1">
    <w:name w:val="Default Paragraph Font"/>
    <w:uiPriority w:val="1"/>
    <w:semiHidden/>
    <w:unhideWhenUsed/>
    <w:qFormat/>
    <w:rPr/>
  </w:style>
  <w:style w:type="character" w:styleId="Style3" w:customStyle="1">
    <w:name w:val="Абзац списку Знак"/>
    <w:link w:val="ListParagraph"/>
    <w:uiPriority w:val="34"/>
    <w:qFormat/>
    <w:rsid w:val="006a294a"/>
    <w:rPr>
      <w:rFonts w:ascii="Calibri" w:hAnsi="Calibri" w:eastAsia="Calibri" w:cs="Calibri"/>
      <w:lang w:eastAsia="zh-CN"/>
    </w:rPr>
  </w:style>
  <w:style w:type="character" w:styleId="Style4" w:customStyle="1">
    <w:name w:val="Нижній колонтитул Знак"/>
    <w:basedOn w:val="DefaultParagraphFont"/>
    <w:uiPriority w:val="99"/>
    <w:qFormat/>
    <w:rsid w:val="0061451b"/>
    <w:rPr>
      <w:rFonts w:ascii="Calibri" w:hAnsi="Calibri" w:eastAsia="Calibri" w:cs="Calibri"/>
      <w:lang w:eastAsia="zh-CN"/>
    </w:rPr>
  </w:style>
  <w:style w:type="character" w:styleId="Hyperlink">
    <w:name w:val="Hyperlink"/>
    <w:basedOn w:val="DefaultParagraphFont"/>
    <w:uiPriority w:val="99"/>
    <w:unhideWhenUsed/>
    <w:rsid w:val="005d1561"/>
    <w:rPr>
      <w:color w:val="0563C1" w:themeColor="hyperlink"/>
      <w:u w:val="single"/>
    </w:rPr>
  </w:style>
  <w:style w:type="character" w:styleId="Xfm93972720" w:customStyle="1">
    <w:name w:val="xfm_93972720"/>
    <w:basedOn w:val="DefaultParagraphFont"/>
    <w:qFormat/>
    <w:rsid w:val="000e4b01"/>
    <w:rPr/>
  </w:style>
  <w:style w:type="character" w:styleId="Style5" w:customStyle="1">
    <w:name w:val="Звичайний (веб) Знак"/>
    <w:link w:val="NormalWeb"/>
    <w:qFormat/>
    <w:rsid w:val="00b56048"/>
    <w:rPr>
      <w:rFonts w:ascii="Times New Roman" w:hAnsi="Times New Roman" w:cs="Times New Roman"/>
      <w:sz w:val="24"/>
      <w:szCs w:val="24"/>
      <w:lang w:val="uk-UA"/>
    </w:rPr>
  </w:style>
  <w:style w:type="character" w:styleId="2" w:customStyle="1">
    <w:name w:val="Основний текст 2 Знак"/>
    <w:basedOn w:val="DefaultParagraphFont"/>
    <w:link w:val="BodyText2"/>
    <w:qFormat/>
    <w:rsid w:val="00f41442"/>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uiPriority w:val="9"/>
    <w:qFormat/>
    <w:rsid w:val="00b2511f"/>
    <w:rPr>
      <w:rFonts w:ascii="Times New Roman" w:hAnsi="Times New Roman" w:eastAsia="Times New Roman" w:cs="Times New Roman"/>
      <w:b/>
      <w:bCs/>
      <w:sz w:val="36"/>
      <w:szCs w:val="36"/>
      <w:lang w:val="uk-UA" w:eastAsia="uk-UA"/>
    </w:rPr>
  </w:style>
  <w:style w:type="character" w:styleId="Style6" w:customStyle="1">
    <w:name w:val="Без інтервалів Знак"/>
    <w:basedOn w:val="DefaultParagraphFont"/>
    <w:link w:val="NoSpacing"/>
    <w:uiPriority w:val="1"/>
    <w:qFormat/>
    <w:locked/>
    <w:rsid w:val="00b2511f"/>
    <w:rPr>
      <w:rFonts w:ascii="Calibri" w:hAnsi="Calibri" w:eastAsia="Calibri" w:cs="Times New Roman"/>
      <w:lang w:val="uk-UA"/>
    </w:rPr>
  </w:style>
  <w:style w:type="character" w:styleId="Style7" w:customStyle="1">
    <w:name w:val="Другое_"/>
    <w:basedOn w:val="DefaultParagraphFont"/>
    <w:link w:val="Style17"/>
    <w:qFormat/>
    <w:rsid w:val="00b2511f"/>
    <w:rPr>
      <w:rFonts w:ascii="Calibri" w:hAnsi="Calibri" w:eastAsia="Calibri" w:cs="Calibri"/>
      <w:sz w:val="20"/>
      <w:szCs w:val="20"/>
    </w:rPr>
  </w:style>
  <w:style w:type="character" w:styleId="22" w:customStyle="1">
    <w:name w:val="Основной текст (2)_"/>
    <w:basedOn w:val="DefaultParagraphFont"/>
    <w:link w:val="23"/>
    <w:qFormat/>
    <w:rsid w:val="008909a3"/>
    <w:rPr>
      <w:rFonts w:eastAsia="Times New Roman" w:cs="Times New Roman"/>
      <w:shd w:fill="FFFFFF" w:val="clear"/>
    </w:rPr>
  </w:style>
  <w:style w:type="character" w:styleId="Style8" w:customStyle="1">
    <w:name w:val="Текст у виносці Знак"/>
    <w:basedOn w:val="DefaultParagraphFont"/>
    <w:link w:val="BalloonText"/>
    <w:uiPriority w:val="99"/>
    <w:semiHidden/>
    <w:qFormat/>
    <w:locked/>
    <w:rsid w:val="00630a56"/>
    <w:rPr>
      <w:rFonts w:ascii="Segoe UI" w:hAnsi="Segoe UI" w:eastAsia="Times New Roman" w:cs="Segoe UI"/>
      <w:sz w:val="18"/>
      <w:szCs w:val="18"/>
      <w:lang w:eastAsia="ru-RU"/>
    </w:rPr>
  </w:style>
  <w:style w:type="character" w:styleId="1" w:customStyle="1">
    <w:name w:val="Текст у виносці Знак1"/>
    <w:basedOn w:val="DefaultParagraphFont"/>
    <w:uiPriority w:val="99"/>
    <w:semiHidden/>
    <w:qFormat/>
    <w:rsid w:val="00630a56"/>
    <w:rPr>
      <w:rFonts w:ascii="Segoe UI" w:hAnsi="Segoe UI" w:cs="Segoe UI"/>
      <w:sz w:val="18"/>
      <w:szCs w:val="18"/>
      <w:lang w:val="uk-UA"/>
    </w:rPr>
  </w:style>
  <w:style w:type="character" w:styleId="T23" w:customStyle="1">
    <w:name w:val="T23"/>
    <w:qFormat/>
    <w:rsid w:val="00b02667"/>
    <w:rPr>
      <w:rFonts w:ascii="Times New Roman" w:hAnsi="Times New Roman" w:eastAsia="Times New Roman1" w:cs="Times New Roman"/>
    </w:rPr>
  </w:style>
  <w:style w:type="character" w:styleId="Markedcontent" w:customStyle="1">
    <w:name w:val="markedcontent"/>
    <w:basedOn w:val="DefaultParagraphFont"/>
    <w:qFormat/>
    <w:rsid w:val="001f1e18"/>
    <w:rPr/>
  </w:style>
  <w:style w:type="character" w:styleId="Style9" w:customStyle="1">
    <w:name w:val="Текст примітки Знак"/>
    <w:basedOn w:val="DefaultParagraphFont"/>
    <w:link w:val="Annotationtext"/>
    <w:uiPriority w:val="99"/>
    <w:qFormat/>
    <w:rsid w:val="00811ca9"/>
    <w:rPr>
      <w:rFonts w:ascii="Times New Roman" w:hAnsi="Times New Roman" w:eastAsia="Times New Roman" w:cs="Times New Roman"/>
      <w:sz w:val="20"/>
      <w:szCs w:val="20"/>
      <w:lang w:eastAsia="ru-RU"/>
    </w:rPr>
  </w:style>
  <w:style w:type="character" w:styleId="Docdata" w:customStyle="1">
    <w:name w:val="docdata"/>
    <w:basedOn w:val="DefaultParagraphFont"/>
    <w:qFormat/>
    <w:rsid w:val="00362deb"/>
    <w:rPr/>
  </w:style>
  <w:style w:type="character" w:styleId="3" w:customStyle="1">
    <w:name w:val="Заголовок 3 Знак"/>
    <w:basedOn w:val="DefaultParagraphFont"/>
    <w:uiPriority w:val="9"/>
    <w:semiHidden/>
    <w:qFormat/>
    <w:rsid w:val="002924c8"/>
    <w:rPr>
      <w:rFonts w:ascii="Calibri Light" w:hAnsi="Calibri Light" w:eastAsia="" w:cs="" w:asciiTheme="majorHAnsi" w:cstheme="majorBidi" w:eastAsiaTheme="majorEastAsia" w:hAnsiTheme="majorHAnsi"/>
      <w:color w:val="1F4D78" w:themeColor="accent1" w:themeShade="7f"/>
      <w:sz w:val="24"/>
      <w:szCs w:val="24"/>
      <w:lang w:val="uk-UA"/>
    </w:rPr>
  </w:style>
  <w:style w:type="character" w:styleId="4" w:customStyle="1">
    <w:name w:val="Заголовок 4 Знак"/>
    <w:basedOn w:val="DefaultParagraphFont"/>
    <w:uiPriority w:val="9"/>
    <w:semiHidden/>
    <w:qFormat/>
    <w:rsid w:val="002924c8"/>
    <w:rPr>
      <w:rFonts w:ascii="Calibri Light" w:hAnsi="Calibri Light" w:eastAsia="" w:cs="" w:asciiTheme="majorHAnsi" w:cstheme="majorBidi" w:eastAsiaTheme="majorEastAsia" w:hAnsiTheme="majorHAnsi"/>
      <w:i/>
      <w:iCs/>
      <w:color w:val="2E74B5" w:themeColor="accent1" w:themeShade="bf"/>
      <w:lang w:val="uk-UA"/>
    </w:rPr>
  </w:style>
  <w:style w:type="character" w:styleId="Strong">
    <w:name w:val="Strong"/>
    <w:basedOn w:val="DefaultParagraphFont"/>
    <w:uiPriority w:val="22"/>
    <w:qFormat/>
    <w:rsid w:val="002924c8"/>
    <w:rPr>
      <w:b/>
      <w:bCs/>
    </w:rPr>
  </w:style>
  <w:style w:type="character" w:styleId="11" w:customStyle="1">
    <w:name w:val="Заголовок 1 Знак"/>
    <w:basedOn w:val="DefaultParagraphFont"/>
    <w:uiPriority w:val="9"/>
    <w:qFormat/>
    <w:rsid w:val="000d1e45"/>
    <w:rPr>
      <w:rFonts w:ascii="Calibri" w:hAnsi="Calibri" w:eastAsia="Calibri" w:cs="Calibri"/>
      <w:color w:val="2E75B5"/>
      <w:sz w:val="32"/>
      <w:szCs w:val="32"/>
      <w:lang w:val="uk-UA" w:eastAsia="uk-UA"/>
    </w:rPr>
  </w:style>
  <w:style w:type="character" w:styleId="5" w:customStyle="1">
    <w:name w:val="Заголовок 5 Знак"/>
    <w:basedOn w:val="DefaultParagraphFont"/>
    <w:uiPriority w:val="9"/>
    <w:semiHidden/>
    <w:qFormat/>
    <w:rsid w:val="000d1e45"/>
    <w:rPr>
      <w:rFonts w:ascii="Times New Roman" w:hAnsi="Times New Roman" w:eastAsia="Times New Roman" w:cs="Times New Roman"/>
      <w:b/>
      <w:lang w:val="uk-UA" w:eastAsia="uk-UA"/>
    </w:rPr>
  </w:style>
  <w:style w:type="character" w:styleId="6" w:customStyle="1">
    <w:name w:val="Заголовок 6 Знак"/>
    <w:basedOn w:val="DefaultParagraphFont"/>
    <w:uiPriority w:val="9"/>
    <w:semiHidden/>
    <w:qFormat/>
    <w:rsid w:val="000d1e45"/>
    <w:rPr>
      <w:rFonts w:ascii="Times New Roman" w:hAnsi="Times New Roman" w:eastAsia="Times New Roman" w:cs="Times New Roman"/>
      <w:b/>
      <w:sz w:val="20"/>
      <w:szCs w:val="20"/>
      <w:lang w:val="uk-UA" w:eastAsia="uk-UA"/>
    </w:rPr>
  </w:style>
  <w:style w:type="character" w:styleId="Style10" w:customStyle="1">
    <w:name w:val="Назва Знак"/>
    <w:basedOn w:val="DefaultParagraphFont"/>
    <w:uiPriority w:val="10"/>
    <w:qFormat/>
    <w:rsid w:val="000d1e45"/>
    <w:rPr>
      <w:rFonts w:ascii="Times New Roman" w:hAnsi="Times New Roman" w:eastAsia="Times New Roman" w:cs="Times New Roman"/>
      <w:b/>
      <w:color w:val="000000"/>
      <w:sz w:val="28"/>
      <w:szCs w:val="28"/>
      <w:shd w:fill="FFFFFF" w:val="clear"/>
      <w:lang w:val="uk-UA" w:eastAsia="uk-UA"/>
    </w:rPr>
  </w:style>
  <w:style w:type="character" w:styleId="Style11" w:customStyle="1">
    <w:name w:val="Підзаголовок Знак"/>
    <w:basedOn w:val="DefaultParagraphFont"/>
    <w:uiPriority w:val="11"/>
    <w:qFormat/>
    <w:rsid w:val="000d1e45"/>
    <w:rPr>
      <w:rFonts w:ascii="Georgia" w:hAnsi="Georgia" w:eastAsia="Georgia" w:cs="Georgia"/>
      <w:i/>
      <w:color w:val="666666"/>
      <w:sz w:val="48"/>
      <w:szCs w:val="48"/>
      <w:lang w:val="uk-UA" w:eastAsia="uk-UA"/>
    </w:rPr>
  </w:style>
  <w:style w:type="character" w:styleId="Annotationreference">
    <w:name w:val="annotation reference"/>
    <w:basedOn w:val="DefaultParagraphFont"/>
    <w:uiPriority w:val="99"/>
    <w:semiHidden/>
    <w:unhideWhenUsed/>
    <w:qFormat/>
    <w:rsid w:val="000d1e45"/>
    <w:rPr>
      <w:sz w:val="16"/>
      <w:szCs w:val="16"/>
    </w:rPr>
  </w:style>
  <w:style w:type="character" w:styleId="Style12" w:customStyle="1">
    <w:name w:val="Тема примітки Знак"/>
    <w:basedOn w:val="Style9"/>
    <w:link w:val="Annotationsubject"/>
    <w:uiPriority w:val="99"/>
    <w:semiHidden/>
    <w:qFormat/>
    <w:rsid w:val="000d1e45"/>
    <w:rPr>
      <w:rFonts w:ascii="Times New Roman" w:hAnsi="Times New Roman" w:eastAsia="Times New Roman" w:cs="Times New Roman"/>
      <w:b/>
      <w:bCs/>
      <w:sz w:val="20"/>
      <w:szCs w:val="20"/>
      <w:lang w:val="uk-UA" w:eastAsia="uk-UA"/>
    </w:rPr>
  </w:style>
  <w:style w:type="character" w:styleId="Style13" w:customStyle="1">
    <w:name w:val="Верхній колонтитул Знак"/>
    <w:basedOn w:val="DefaultParagraphFont"/>
    <w:uiPriority w:val="99"/>
    <w:qFormat/>
    <w:rsid w:val="000d1e45"/>
    <w:rPr>
      <w:rFonts w:ascii="Times New Roman" w:hAnsi="Times New Roman" w:eastAsia="Times New Roman" w:cs="Times New Roman"/>
      <w:sz w:val="20"/>
      <w:szCs w:val="20"/>
      <w:lang w:val="uk-UA" w:eastAsia="uk-UA"/>
    </w:rPr>
  </w:style>
  <w:style w:type="paragraph" w:styleId="Style14">
    <w:name w:val="Заголовок"/>
    <w:basedOn w:val="Normal"/>
    <w:next w:val="BodyText"/>
    <w:qFormat/>
    <w:pPr>
      <w:keepNext w:val="true"/>
      <w:spacing w:before="240" w:after="120"/>
    </w:pPr>
    <w:rPr>
      <w:rFonts w:ascii="Carlito" w:hAnsi="Carlito"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Style15">
    <w:name w:val="Покажчик"/>
    <w:basedOn w:val="Normal"/>
    <w:qFormat/>
    <w:pPr>
      <w:suppressLineNumbers/>
    </w:pPr>
    <w:rPr>
      <w:rFonts w:cs="Noto Sans Devanagari"/>
      <w:lang w:val="zxx" w:eastAsia="zxx" w:bidi="zxx"/>
    </w:rPr>
  </w:style>
  <w:style w:type="paragraph" w:styleId="ListParagraph">
    <w:name w:val="List Paragraph"/>
    <w:basedOn w:val="Normal"/>
    <w:link w:val="Style3"/>
    <w:uiPriority w:val="34"/>
    <w:qFormat/>
    <w:rsid w:val="006a294a"/>
    <w:pPr>
      <w:suppressAutoHyphens w:val="true"/>
      <w:spacing w:lineRule="auto" w:line="276" w:before="0" w:after="200"/>
      <w:ind w:left="720" w:hanging="0"/>
      <w:contextualSpacing/>
    </w:pPr>
    <w:rPr>
      <w:rFonts w:ascii="Calibri" w:hAnsi="Calibri" w:eastAsia="Calibri" w:cs="Calibri"/>
      <w:lang w:val="ru-RU" w:eastAsia="zh-CN"/>
    </w:rPr>
  </w:style>
  <w:style w:type="paragraph" w:styleId="NormalWeb">
    <w:name w:val="Normal (Web)"/>
    <w:basedOn w:val="Normal"/>
    <w:link w:val="Style5"/>
    <w:unhideWhenUsed/>
    <w:qFormat/>
    <w:rsid w:val="0061451b"/>
    <w:pPr/>
    <w:rPr>
      <w:rFonts w:ascii="Times New Roman" w:hAnsi="Times New Roman" w:cs="Times New Roman"/>
      <w:sz w:val="24"/>
      <w:szCs w:val="24"/>
    </w:rPr>
  </w:style>
  <w:style w:type="paragraph" w:styleId="Style16">
    <w:name w:val="Верхній і нижній колонтитули"/>
    <w:basedOn w:val="Normal"/>
    <w:qFormat/>
    <w:pPr/>
    <w:rPr/>
  </w:style>
  <w:style w:type="paragraph" w:styleId="Footer">
    <w:name w:val="Footer"/>
    <w:basedOn w:val="Normal"/>
    <w:link w:val="Style4"/>
    <w:uiPriority w:val="99"/>
    <w:unhideWhenUsed/>
    <w:rsid w:val="0061451b"/>
    <w:pPr>
      <w:tabs>
        <w:tab w:val="clear" w:pos="708"/>
        <w:tab w:val="center" w:pos="4819" w:leader="none"/>
        <w:tab w:val="right" w:pos="9639" w:leader="none"/>
      </w:tabs>
      <w:suppressAutoHyphens w:val="true"/>
      <w:spacing w:lineRule="auto" w:line="240" w:before="0" w:after="0"/>
    </w:pPr>
    <w:rPr>
      <w:rFonts w:ascii="Calibri" w:hAnsi="Calibri" w:eastAsia="Calibri" w:cs="Calibri"/>
      <w:lang w:val="ru-RU" w:eastAsia="zh-CN"/>
    </w:rPr>
  </w:style>
  <w:style w:type="paragraph" w:styleId="FR1" w:customStyle="1">
    <w:name w:val="FR1"/>
    <w:qFormat/>
    <w:rsid w:val="00f90c90"/>
    <w:pPr>
      <w:widowControl w:val="false"/>
      <w:bidi w:val="0"/>
      <w:spacing w:lineRule="auto" w:line="240" w:before="0" w:after="0"/>
      <w:ind w:left="40" w:hanging="0"/>
      <w:jc w:val="both"/>
    </w:pPr>
    <w:rPr>
      <w:rFonts w:ascii="Calibri" w:hAnsi="Calibri" w:eastAsia="Calibri" w:cs="Times New Roman" w:asciiTheme="minorHAnsi" w:eastAsiaTheme="minorHAnsi" w:hAnsiTheme="minorHAnsi"/>
      <w:color w:val="auto"/>
      <w:kern w:val="0"/>
      <w:sz w:val="20"/>
      <w:szCs w:val="20"/>
      <w:lang w:val="uk-UA" w:eastAsia="en-US" w:bidi="ar-SA"/>
    </w:rPr>
  </w:style>
  <w:style w:type="paragraph" w:styleId="BodyText2">
    <w:name w:val="Body Text 2"/>
    <w:basedOn w:val="Normal"/>
    <w:link w:val="2"/>
    <w:qFormat/>
    <w:rsid w:val="00f41442"/>
    <w:pPr>
      <w:spacing w:lineRule="auto" w:line="240" w:before="0" w:after="0"/>
    </w:pPr>
    <w:rPr>
      <w:rFonts w:ascii="Times New Roman" w:hAnsi="Times New Roman" w:eastAsia="Times New Roman" w:cs="Times New Roman"/>
      <w:sz w:val="28"/>
      <w:szCs w:val="20"/>
      <w:lang w:val="ru-RU" w:eastAsia="ru-RU"/>
    </w:rPr>
  </w:style>
  <w:style w:type="paragraph" w:styleId="Default" w:customStyle="1">
    <w:name w:val="Default"/>
    <w:qFormat/>
    <w:rsid w:val="00f41442"/>
    <w:pPr>
      <w:widowControl/>
      <w:bidi w:val="0"/>
      <w:spacing w:lineRule="auto" w:line="240" w:before="0" w:after="0"/>
      <w:jc w:val="left"/>
    </w:pPr>
    <w:rPr>
      <w:rFonts w:ascii="Times New Roman" w:hAnsi="Times New Roman" w:eastAsia="Calibri" w:cs="Times New Roman"/>
      <w:color w:val="000000"/>
      <w:kern w:val="0"/>
      <w:sz w:val="24"/>
      <w:szCs w:val="24"/>
      <w:lang w:val="uk-UA" w:eastAsia="uk-UA" w:bidi="ar-SA"/>
    </w:rPr>
  </w:style>
  <w:style w:type="paragraph" w:styleId="NoSpacing">
    <w:name w:val="No Spacing"/>
    <w:link w:val="Style6"/>
    <w:uiPriority w:val="1"/>
    <w:qFormat/>
    <w:rsid w:val="00b2511f"/>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uk-UA" w:eastAsia="en-US" w:bidi="ar-SA"/>
    </w:rPr>
  </w:style>
  <w:style w:type="paragraph" w:styleId="Style17" w:customStyle="1">
    <w:name w:val="Другое"/>
    <w:basedOn w:val="Normal"/>
    <w:link w:val="Style7"/>
    <w:qFormat/>
    <w:rsid w:val="00b2511f"/>
    <w:pPr>
      <w:widowControl w:val="false"/>
      <w:spacing w:lineRule="auto" w:line="240" w:before="0" w:after="0"/>
    </w:pPr>
    <w:rPr>
      <w:rFonts w:ascii="Calibri" w:hAnsi="Calibri" w:eastAsia="Calibri" w:cs="Calibri"/>
      <w:sz w:val="20"/>
      <w:szCs w:val="20"/>
      <w:lang w:val="ru-RU"/>
    </w:rPr>
  </w:style>
  <w:style w:type="paragraph" w:styleId="12" w:customStyle="1">
    <w:name w:val="Звичайний1"/>
    <w:qFormat/>
    <w:rsid w:val="00f4253d"/>
    <w:pPr>
      <w:widowControl/>
      <w:bidi w:val="0"/>
      <w:spacing w:lineRule="auto" w:line="240" w:before="0" w:after="0"/>
      <w:jc w:val="left"/>
    </w:pPr>
    <w:rPr>
      <w:rFonts w:ascii="Tms Rmn" w:hAnsi="Tms Rmn" w:eastAsia="Times New Roman" w:cs="Times New Roman"/>
      <w:color w:val="auto"/>
      <w:kern w:val="0"/>
      <w:sz w:val="20"/>
      <w:szCs w:val="20"/>
      <w:lang w:val="uk-UA" w:eastAsia="ru-RU" w:bidi="te-IN"/>
    </w:rPr>
  </w:style>
  <w:style w:type="paragraph" w:styleId="23" w:customStyle="1">
    <w:name w:val="Основной текст (2)"/>
    <w:basedOn w:val="Normal"/>
    <w:link w:val="22"/>
    <w:qFormat/>
    <w:rsid w:val="008909a3"/>
    <w:pPr>
      <w:widowControl w:val="false"/>
      <w:shd w:val="clear" w:color="auto" w:fill="FFFFFF"/>
      <w:spacing w:lineRule="atLeast" w:line="0" w:before="240" w:after="480"/>
      <w:ind w:hanging="700"/>
      <w:jc w:val="both"/>
    </w:pPr>
    <w:rPr>
      <w:rFonts w:eastAsia="Times New Roman" w:cs="Times New Roman"/>
      <w:lang w:val="ru-RU"/>
    </w:rPr>
  </w:style>
  <w:style w:type="paragraph" w:styleId="BalloonText">
    <w:name w:val="Balloon Text"/>
    <w:basedOn w:val="Normal"/>
    <w:link w:val="Style8"/>
    <w:uiPriority w:val="99"/>
    <w:semiHidden/>
    <w:unhideWhenUsed/>
    <w:qFormat/>
    <w:rsid w:val="00630a56"/>
    <w:pPr>
      <w:widowControl w:val="false"/>
      <w:spacing w:lineRule="auto" w:line="240" w:before="0" w:after="0"/>
    </w:pPr>
    <w:rPr>
      <w:rFonts w:ascii="Segoe UI" w:hAnsi="Segoe UI" w:eastAsia="Times New Roman" w:cs="Segoe UI"/>
      <w:sz w:val="18"/>
      <w:szCs w:val="18"/>
      <w:lang w:val="ru-RU" w:eastAsia="ru-RU"/>
    </w:rPr>
  </w:style>
  <w:style w:type="paragraph" w:styleId="13" w:customStyle="1">
    <w:name w:val="Абзац списку1"/>
    <w:basedOn w:val="Normal"/>
    <w:uiPriority w:val="99"/>
    <w:qFormat/>
    <w:rsid w:val="001f1e18"/>
    <w:pPr>
      <w:spacing w:lineRule="auto" w:line="276" w:before="0" w:after="0"/>
      <w:ind w:left="720" w:hanging="0"/>
      <w:jc w:val="both"/>
    </w:pPr>
    <w:rPr>
      <w:rFonts w:ascii="Times New Roman" w:hAnsi="Times New Roman" w:eastAsia="Calibri" w:cs="Times New Roman"/>
      <w:sz w:val="24"/>
      <w:szCs w:val="24"/>
      <w:lang w:eastAsia="zh-CN" w:bidi="hi-IN"/>
    </w:rPr>
  </w:style>
  <w:style w:type="paragraph" w:styleId="Annotationtext">
    <w:name w:val="annotation text"/>
    <w:basedOn w:val="Normal"/>
    <w:link w:val="Style9"/>
    <w:uiPriority w:val="99"/>
    <w:unhideWhenUsed/>
    <w:qFormat/>
    <w:rsid w:val="00811ca9"/>
    <w:pPr>
      <w:widowControl w:val="false"/>
      <w:spacing w:lineRule="auto" w:line="240" w:before="0" w:after="0"/>
    </w:pPr>
    <w:rPr>
      <w:rFonts w:ascii="Times New Roman" w:hAnsi="Times New Roman" w:eastAsia="Times New Roman" w:cs="Times New Roman"/>
      <w:sz w:val="20"/>
      <w:szCs w:val="20"/>
      <w:lang w:val="ru-RU" w:eastAsia="ru-RU"/>
    </w:rPr>
  </w:style>
  <w:style w:type="paragraph" w:styleId="Namespec" w:customStyle="1">
    <w:name w:val="name-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Contspec" w:customStyle="1">
    <w:name w:val="cont-spec"/>
    <w:basedOn w:val="Normal"/>
    <w:qFormat/>
    <w:rsid w:val="002924c8"/>
    <w:pPr>
      <w:spacing w:lineRule="auto" w:line="240" w:beforeAutospacing="1" w:afterAutospacing="1"/>
    </w:pPr>
    <w:rPr>
      <w:rFonts w:ascii="Times New Roman" w:hAnsi="Times New Roman" w:eastAsia="Times New Roman" w:cs="Times New Roman"/>
      <w:sz w:val="24"/>
      <w:szCs w:val="24"/>
      <w:lang w:eastAsia="uk-UA"/>
    </w:rPr>
  </w:style>
  <w:style w:type="paragraph" w:styleId="Rvps6" w:customStyle="1">
    <w:name w:val="rvps6"/>
    <w:basedOn w:val="Normal"/>
    <w:uiPriority w:val="99"/>
    <w:qFormat/>
    <w:rsid w:val="001d3b60"/>
    <w:pPr>
      <w:spacing w:lineRule="auto" w:line="240" w:beforeAutospacing="1" w:afterAutospacing="1"/>
    </w:pPr>
    <w:rPr>
      <w:rFonts w:ascii="Times New Roman" w:hAnsi="Times New Roman" w:eastAsia="Times New Roman" w:cs="Times New Roman"/>
      <w:sz w:val="24"/>
      <w:szCs w:val="24"/>
      <w:lang w:val="ru-RU" w:eastAsia="ru-RU"/>
    </w:rPr>
  </w:style>
  <w:style w:type="paragraph" w:styleId="Title">
    <w:name w:val="Title"/>
    <w:basedOn w:val="Normal"/>
    <w:next w:val="Normal"/>
    <w:link w:val="Style10"/>
    <w:uiPriority w:val="10"/>
    <w:qFormat/>
    <w:rsid w:val="000d1e45"/>
    <w:pPr>
      <w:shd w:val="clear" w:color="auto" w:fill="FFFFFF"/>
      <w:spacing w:lineRule="auto" w:line="240" w:before="0" w:after="0"/>
      <w:ind w:right="2834" w:hanging="0"/>
      <w:jc w:val="center"/>
    </w:pPr>
    <w:rPr>
      <w:rFonts w:ascii="Times New Roman" w:hAnsi="Times New Roman" w:eastAsia="Times New Roman" w:cs="Times New Roman"/>
      <w:b/>
      <w:color w:val="000000"/>
      <w:sz w:val="28"/>
      <w:szCs w:val="28"/>
      <w:lang w:eastAsia="uk-UA"/>
    </w:rPr>
  </w:style>
  <w:style w:type="paragraph" w:styleId="Subtitle">
    <w:name w:val="Subtitle"/>
    <w:basedOn w:val="Normal"/>
    <w:next w:val="Normal"/>
    <w:link w:val="Style11"/>
    <w:uiPriority w:val="11"/>
    <w:qFormat/>
    <w:rsid w:val="000d1e45"/>
    <w:pPr>
      <w:keepNext w:val="true"/>
      <w:keepLines/>
      <w:widowControl w:val="false"/>
      <w:spacing w:lineRule="auto" w:line="240" w:before="360" w:after="80"/>
    </w:pPr>
    <w:rPr>
      <w:rFonts w:ascii="Georgia" w:hAnsi="Georgia" w:eastAsia="Georgia" w:cs="Georgia"/>
      <w:i/>
      <w:color w:val="666666"/>
      <w:sz w:val="48"/>
      <w:szCs w:val="48"/>
      <w:lang w:eastAsia="uk-UA"/>
    </w:rPr>
  </w:style>
  <w:style w:type="paragraph" w:styleId="Annotationsubject">
    <w:name w:val="annotation subject"/>
    <w:basedOn w:val="Annotationtext"/>
    <w:next w:val="Annotationtext"/>
    <w:link w:val="Style12"/>
    <w:uiPriority w:val="99"/>
    <w:semiHidden/>
    <w:unhideWhenUsed/>
    <w:qFormat/>
    <w:rsid w:val="000d1e45"/>
    <w:pPr/>
    <w:rPr>
      <w:b/>
      <w:bCs/>
      <w:lang w:val="uk-UA" w:eastAsia="uk-UA"/>
    </w:rPr>
  </w:style>
  <w:style w:type="paragraph" w:styleId="Header">
    <w:name w:val="Header"/>
    <w:basedOn w:val="Normal"/>
    <w:link w:val="Style13"/>
    <w:uiPriority w:val="99"/>
    <w:unhideWhenUsed/>
    <w:rsid w:val="000d1e45"/>
    <w:pPr>
      <w:widowControl w:val="false"/>
      <w:tabs>
        <w:tab w:val="clear" w:pos="708"/>
        <w:tab w:val="center" w:pos="4986" w:leader="none"/>
        <w:tab w:val="right" w:pos="9973" w:leader="none"/>
      </w:tabs>
      <w:spacing w:lineRule="auto" w:line="240" w:before="0" w:after="0"/>
    </w:pPr>
    <w:rPr>
      <w:rFonts w:ascii="Times New Roman" w:hAnsi="Times New Roman" w:eastAsia="Times New Roman" w:cs="Times New Roman"/>
      <w:sz w:val="20"/>
      <w:szCs w:val="20"/>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5518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55180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39"/>
    <w:rsid w:val="0061451b"/>
    <w:pPr>
      <w:spacing w:after="0" w:line="240" w:lineRule="auto"/>
    </w:pPr>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table" w:customStyle="1" w:styleId="TableNormal1">
    <w:name w:val="Table Normal1"/>
    <w:rsid w:val="000d1e45"/>
    <w:pPr>
      <w:spacing w:after="0" w:line="240" w:lineRule="auto"/>
    </w:pPr>
    <w:rPr>
      <w:lang w:val="uk-UA" w:eastAsia="uk-UA"/>
      <w:sz w:val="20"/>
      <w:szCs w:val="20"/>
    </w:rPr>
    <w:tblPr>
      <w:tblCellMar>
        <w:top w:w="0" w:type="dxa"/>
        <w:left w:w="0" w:type="dxa"/>
        <w:bottom w:w="0" w:type="dxa"/>
        <w:right w:w="0" w:type="dxa"/>
      </w:tblCellMar>
    </w:tblPr>
  </w:style>
  <w:style w:type="table" w:customStyle="1" w:styleId="StGen2">
    <w:name w:val="StGen2"/>
    <w:basedOn w:val="TableNormal1"/>
    <w:rsid w:val="000d1e45"/>
    <w:tblPr>
      <w:tblStyleRowBandSize w:val="1"/>
      <w:tblStyleColBandSize w:val="1"/>
      <w:tblCellMar>
        <w:left w:w="115" w:type="dxa"/>
        <w:right w:w="115"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Application>Collabora_Office/22.05.20.1$Linux_X86_64 LibreOffice_project/bd9263bb6d0222e89e44fbff51d0d094dad8e281</Application>
  <AppVersion>15.0000</AppVersion>
  <Pages>15</Pages>
  <Words>2645</Words>
  <Characters>19754</Characters>
  <CharactersWithSpaces>21606</CharactersWithSpaces>
  <Paragraphs>809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2022-11-01T12:47:00Z</dcterms:created>
  <dc:creator>ВЮС 2</dc:creator>
  <dc:description/>
  <dc:language>uk-UA</dc:language>
  <cp:lastModifiedBy>Олександр Здітовецький</cp:lastModifiedBy>
  <dcterms:modified xsi:type="dcterms:W3CDTF">2024-11-08T11:39:00Z</dcterms:modified>
  <cp:revision>180</cp:revision>
  <dc:subject/>
  <dc:title/>
</cp:coreProperties>
</file>

<file path=docProps/custom.xml><?xml version="1.0" encoding="utf-8"?>
<Properties xmlns="http://schemas.openxmlformats.org/officeDocument/2006/custom-properties" xmlns:vt="http://schemas.openxmlformats.org/officeDocument/2006/docPropsVTypes"/>
</file>