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комплекту системи контролю доступу в ліфт зі встановленням за ДК 021:2015: 35120000-1 Системи та пристрої нагляду та охорони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04</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4</w:t>
      </w:r>
      <w:r>
        <w:rPr>
          <w:rFonts w:ascii="Times New Roman" w:hAnsi="Times New Roman" w:cs="Times New Roman"/>
          <w:sz w:val="24"/>
          <w:szCs w:val="24"/>
        </w:rPr>
        <w:t xml:space="preserve">157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комплекту системи контролю доступу в ліфт зі встановленням за ДК 021:2015: 35120000-1 Системи та пристрої нагляду та охорони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rPr>
                <w:b/>
                <w:bCs/>
              </w:rPr>
            </w:pPr>
            <w:r>
              <w:rPr>
                <w:b/>
                <w:bCs/>
                <w:shd w:val="clear" w:color="auto" w:fill="ffffff"/>
              </w:rPr>
              <w:t xml:space="preserve">Комплект система контролю доступу в ліфт зі встановленням, </w:t>
            </w:r>
            <w:r>
              <w:rPr>
                <w:i/>
                <w:iCs/>
                <w:shd w:val="clear" w:color="auto" w:fill="ffffff"/>
              </w:rPr>
              <w:t xml:space="preserve">у складі:</w:t>
            </w:r>
            <w:r/>
          </w:p>
        </w:tc>
        <w:tc>
          <w:tcPr>
            <w:tcW w:w="1701" w:type="dxa"/>
            <w:vAlign w:val="center"/>
            <w:textDirection w:val="lrTb"/>
            <w:noWrap w:val="false"/>
          </w:tcPr>
          <w:p>
            <w:pPr>
              <w:pStyle w:val="736"/>
              <w:jc w:val="center"/>
            </w:pPr>
            <w:r>
              <w:rPr>
                <w:b/>
                <w:bCs/>
              </w:rPr>
              <w:t xml:space="preserve">компл</w:t>
            </w:r>
            <w:r>
              <w:rPr>
                <w:b/>
                <w:bCs/>
              </w:rPr>
              <w:t xml:space="preserve">.</w:t>
            </w:r>
            <w:r/>
          </w:p>
        </w:tc>
        <w:tc>
          <w:tcPr>
            <w:tcW w:w="1701" w:type="dxa"/>
            <w:vAlign w:val="center"/>
            <w:textDirection w:val="lrTb"/>
            <w:noWrap w:val="false"/>
          </w:tcPr>
          <w:p>
            <w:pPr>
              <w:pStyle w:val="736"/>
              <w:jc w:val="center"/>
              <w:rPr>
                <w:b/>
                <w:bCs/>
              </w:rPr>
            </w:pPr>
            <w:r>
              <w:rPr>
                <w:b/>
                <w:bCs/>
              </w:rPr>
              <w:t xml:space="preserve">1</w:t>
            </w:r>
            <w:r/>
          </w:p>
        </w:tc>
      </w:tr>
      <w:tr>
        <w:trPr/>
        <w:tc>
          <w:tcPr>
            <w:tcW w:w="562" w:type="dxa"/>
            <w:vAlign w:val="center"/>
            <w:textDirection w:val="lrTb"/>
            <w:noWrap w:val="false"/>
          </w:tcPr>
          <w:p>
            <w:pPr>
              <w:pStyle w:val="736"/>
              <w:jc w:val="center"/>
              <w:rPr>
                <w:b/>
                <w:bCs/>
              </w:rPr>
            </w:pPr>
            <w:r>
              <w:t xml:space="preserve">1.1</w:t>
            </w:r>
            <w:r/>
          </w:p>
        </w:tc>
        <w:tc>
          <w:tcPr>
            <w:tcW w:w="5670" w:type="dxa"/>
            <w:textDirection w:val="lrTb"/>
            <w:noWrap w:val="false"/>
          </w:tcPr>
          <w:p>
            <w:pPr>
              <w:pStyle w:val="736"/>
              <w:rPr>
                <w:b/>
                <w:bCs/>
              </w:rPr>
            </w:pPr>
            <w:r>
              <w:t xml:space="preserve">Блок живлення імпульсний</w:t>
            </w:r>
            <w:r/>
          </w:p>
        </w:tc>
        <w:tc>
          <w:tcPr>
            <w:tcW w:w="1701" w:type="dxa"/>
            <w:vAlign w:val="center"/>
            <w:textDirection w:val="lrTb"/>
            <w:noWrap w:val="false"/>
          </w:tcPr>
          <w:p>
            <w:pPr>
              <w:pStyle w:val="736"/>
              <w:jc w:val="center"/>
              <w:rPr>
                <w:b/>
                <w:bCs/>
              </w:rPr>
            </w:pPr>
            <w:r>
              <w:t xml:space="preserve">шт.</w:t>
            </w:r>
            <w:r/>
          </w:p>
        </w:tc>
        <w:tc>
          <w:tcPr>
            <w:tcW w:w="1701" w:type="dxa"/>
            <w:vAlign w:val="center"/>
            <w:textDirection w:val="lrTb"/>
            <w:noWrap w:val="false"/>
          </w:tcPr>
          <w:p>
            <w:pPr>
              <w:pStyle w:val="736"/>
              <w:jc w:val="center"/>
              <w:rPr>
                <w:b/>
                <w:bCs/>
              </w:rPr>
            </w:pPr>
            <w:r>
              <w:t xml:space="preserve">1</w:t>
            </w:r>
            <w:r/>
          </w:p>
        </w:tc>
      </w:tr>
      <w:tr>
        <w:trPr/>
        <w:tc>
          <w:tcPr>
            <w:tcW w:w="562" w:type="dxa"/>
            <w:vAlign w:val="center"/>
            <w:textDirection w:val="lrTb"/>
            <w:noWrap w:val="false"/>
          </w:tcPr>
          <w:p>
            <w:pPr>
              <w:pStyle w:val="736"/>
              <w:jc w:val="center"/>
              <w:rPr>
                <w:b/>
                <w:bCs/>
              </w:rPr>
            </w:pPr>
            <w:r>
              <w:t xml:space="preserve">1.2</w:t>
            </w:r>
            <w:r/>
          </w:p>
        </w:tc>
        <w:tc>
          <w:tcPr>
            <w:tcW w:w="5670" w:type="dxa"/>
            <w:textDirection w:val="lrTb"/>
            <w:noWrap w:val="false"/>
          </w:tcPr>
          <w:p>
            <w:pPr>
              <w:pStyle w:val="736"/>
              <w:rPr>
                <w:b/>
                <w:bCs/>
              </w:rPr>
            </w:pPr>
            <w:r>
              <w:rPr>
                <w:shd w:val="clear" w:color="auto" w:fill="f9f9f9"/>
              </w:rPr>
              <w:t xml:space="preserve">Кабель UTP мідь зовнішній</w:t>
            </w:r>
            <w:r/>
          </w:p>
        </w:tc>
        <w:tc>
          <w:tcPr>
            <w:tcW w:w="1701" w:type="dxa"/>
            <w:vAlign w:val="center"/>
            <w:textDirection w:val="lrTb"/>
            <w:noWrap w:val="false"/>
          </w:tcPr>
          <w:p>
            <w:pPr>
              <w:pStyle w:val="736"/>
              <w:jc w:val="center"/>
              <w:rPr>
                <w:b/>
                <w:bCs/>
              </w:rPr>
            </w:pPr>
            <w:r>
              <w:t xml:space="preserve">м.</w:t>
            </w:r>
            <w:r/>
          </w:p>
        </w:tc>
        <w:tc>
          <w:tcPr>
            <w:tcW w:w="1701" w:type="dxa"/>
            <w:vAlign w:val="center"/>
            <w:textDirection w:val="lrTb"/>
            <w:noWrap w:val="false"/>
          </w:tcPr>
          <w:p>
            <w:pPr>
              <w:pStyle w:val="736"/>
              <w:jc w:val="center"/>
              <w:rPr>
                <w:b/>
                <w:bCs/>
              </w:rPr>
            </w:pPr>
            <w:r>
              <w:t xml:space="preserve">50</w:t>
            </w:r>
            <w:r/>
          </w:p>
        </w:tc>
      </w:tr>
      <w:tr>
        <w:trPr/>
        <w:tc>
          <w:tcPr>
            <w:tcW w:w="562" w:type="dxa"/>
            <w:vAlign w:val="center"/>
            <w:textDirection w:val="lrTb"/>
            <w:noWrap w:val="false"/>
          </w:tcPr>
          <w:p>
            <w:pPr>
              <w:pStyle w:val="736"/>
              <w:jc w:val="center"/>
              <w:rPr>
                <w:b/>
                <w:bCs/>
              </w:rPr>
            </w:pPr>
            <w:r>
              <w:t xml:space="preserve">1.3</w:t>
            </w:r>
            <w:r/>
          </w:p>
        </w:tc>
        <w:tc>
          <w:tcPr>
            <w:tcW w:w="5670" w:type="dxa"/>
            <w:textDirection w:val="lrTb"/>
            <w:noWrap w:val="false"/>
          </w:tcPr>
          <w:p>
            <w:pPr>
              <w:pStyle w:val="736"/>
              <w:rPr>
                <w:b/>
                <w:bCs/>
                <w:shd w:val="clear" w:color="auto" w:fill="ffffff"/>
              </w:rPr>
            </w:pPr>
            <w:r>
              <w:t xml:space="preserve">Зчитувач </w:t>
            </w:r>
            <w:r>
              <w:t xml:space="preserve">мультиформатний</w:t>
            </w:r>
            <w:r/>
          </w:p>
        </w:tc>
        <w:tc>
          <w:tcPr>
            <w:tcW w:w="1701" w:type="dxa"/>
            <w:vAlign w:val="center"/>
            <w:textDirection w:val="lrTb"/>
            <w:noWrap w:val="false"/>
          </w:tcPr>
          <w:p>
            <w:pPr>
              <w:pStyle w:val="736"/>
              <w:jc w:val="center"/>
              <w:rPr>
                <w:b/>
                <w:bCs/>
              </w:rPr>
            </w:pPr>
            <w:r>
              <w:t xml:space="preserve">шт.</w:t>
            </w:r>
            <w:r/>
          </w:p>
        </w:tc>
        <w:tc>
          <w:tcPr>
            <w:tcW w:w="1701" w:type="dxa"/>
            <w:vAlign w:val="center"/>
            <w:textDirection w:val="lrTb"/>
            <w:noWrap w:val="false"/>
          </w:tcPr>
          <w:p>
            <w:pPr>
              <w:pStyle w:val="736"/>
              <w:jc w:val="center"/>
              <w:rPr>
                <w:b/>
                <w:bCs/>
              </w:rPr>
            </w:pPr>
            <w:r>
              <w:t xml:space="preserve">1</w:t>
            </w:r>
            <w:r/>
          </w:p>
        </w:tc>
      </w:tr>
      <w:tr>
        <w:trPr/>
        <w:tc>
          <w:tcPr>
            <w:tcW w:w="562" w:type="dxa"/>
            <w:vAlign w:val="center"/>
            <w:textDirection w:val="lrTb"/>
            <w:noWrap w:val="false"/>
          </w:tcPr>
          <w:p>
            <w:pPr>
              <w:pStyle w:val="736"/>
              <w:jc w:val="center"/>
              <w:rPr>
                <w:b/>
                <w:bCs/>
              </w:rPr>
            </w:pPr>
            <w:r>
              <w:t xml:space="preserve">1.4</w:t>
            </w:r>
            <w:r/>
          </w:p>
        </w:tc>
        <w:tc>
          <w:tcPr>
            <w:tcW w:w="5670" w:type="dxa"/>
            <w:textDirection w:val="lrTb"/>
            <w:noWrap w:val="false"/>
          </w:tcPr>
          <w:p>
            <w:pPr>
              <w:pStyle w:val="736"/>
              <w:rPr>
                <w:b/>
                <w:bCs/>
                <w:shd w:val="clear" w:color="auto" w:fill="ffffff"/>
              </w:rPr>
            </w:pPr>
            <w:r>
              <w:rPr>
                <w:shd w:val="clear" w:color="auto" w:fill="ffffff"/>
              </w:rPr>
              <w:t xml:space="preserve">Прилад доступу </w:t>
            </w:r>
            <w:r>
              <w:t xml:space="preserve">керування (ліфтами)</w:t>
            </w:r>
            <w:r>
              <w:rPr>
                <w:shd w:val="clear" w:color="auto" w:fill="ffffff"/>
              </w:rPr>
              <w:t xml:space="preserve"> забезпечення функції керування зовнішніми пристроями (ліфтами</w:t>
            </w:r>
            <w:r/>
          </w:p>
        </w:tc>
        <w:tc>
          <w:tcPr>
            <w:tcW w:w="1701" w:type="dxa"/>
            <w:vAlign w:val="center"/>
            <w:textDirection w:val="lrTb"/>
            <w:noWrap w:val="false"/>
          </w:tcPr>
          <w:p>
            <w:pPr>
              <w:pStyle w:val="736"/>
              <w:jc w:val="center"/>
              <w:rPr>
                <w:b/>
                <w:bCs/>
              </w:rPr>
            </w:pPr>
            <w:r>
              <w:t xml:space="preserve">шт.</w:t>
            </w:r>
            <w:r/>
          </w:p>
        </w:tc>
        <w:tc>
          <w:tcPr>
            <w:tcW w:w="1701" w:type="dxa"/>
            <w:vAlign w:val="center"/>
            <w:textDirection w:val="lrTb"/>
            <w:noWrap w:val="false"/>
          </w:tcPr>
          <w:p>
            <w:pPr>
              <w:pStyle w:val="736"/>
              <w:jc w:val="center"/>
              <w:rPr>
                <w:b/>
                <w:bCs/>
              </w:rPr>
            </w:pPr>
            <w:r>
              <w:t xml:space="preserve">1</w:t>
            </w:r>
            <w:r/>
          </w:p>
        </w:tc>
      </w:tr>
      <w:tr>
        <w:trPr/>
        <w:tc>
          <w:tcPr>
            <w:tcW w:w="562" w:type="dxa"/>
            <w:vAlign w:val="center"/>
            <w:textDirection w:val="lrTb"/>
            <w:noWrap w:val="false"/>
          </w:tcPr>
          <w:p>
            <w:pPr>
              <w:pStyle w:val="736"/>
              <w:jc w:val="center"/>
              <w:rPr>
                <w:b/>
                <w:bCs/>
              </w:rPr>
            </w:pPr>
            <w:r>
              <w:t xml:space="preserve">1.5</w:t>
            </w:r>
            <w:r/>
          </w:p>
        </w:tc>
        <w:tc>
          <w:tcPr>
            <w:tcW w:w="5670" w:type="dxa"/>
            <w:textDirection w:val="lrTb"/>
            <w:noWrap w:val="false"/>
          </w:tcPr>
          <w:p>
            <w:pPr>
              <w:pStyle w:val="736"/>
              <w:rPr>
                <w:b/>
                <w:bCs/>
                <w:shd w:val="clear" w:color="auto" w:fill="ffffff"/>
              </w:rPr>
            </w:pPr>
            <w:r>
              <w:t xml:space="preserve">Релейний виконавчий модуль ліфтового контролера</w:t>
            </w:r>
            <w:r/>
          </w:p>
        </w:tc>
        <w:tc>
          <w:tcPr>
            <w:tcW w:w="1701" w:type="dxa"/>
            <w:vAlign w:val="center"/>
            <w:textDirection w:val="lrTb"/>
            <w:noWrap w:val="false"/>
          </w:tcPr>
          <w:p>
            <w:pPr>
              <w:pStyle w:val="736"/>
              <w:jc w:val="center"/>
              <w:rPr>
                <w:b/>
                <w:bCs/>
              </w:rPr>
            </w:pPr>
            <w:r>
              <w:t xml:space="preserve">шт.</w:t>
            </w:r>
            <w:r/>
          </w:p>
        </w:tc>
        <w:tc>
          <w:tcPr>
            <w:tcW w:w="1701" w:type="dxa"/>
            <w:vAlign w:val="center"/>
            <w:textDirection w:val="lrTb"/>
            <w:noWrap w:val="false"/>
          </w:tcPr>
          <w:p>
            <w:pPr>
              <w:pStyle w:val="736"/>
              <w:jc w:val="center"/>
              <w:rPr>
                <w:b/>
                <w:bCs/>
              </w:rPr>
            </w:pPr>
            <w:r>
              <w:t xml:space="preserve">1</w:t>
            </w:r>
            <w:r/>
          </w:p>
        </w:tc>
      </w:tr>
      <w:tr>
        <w:trPr/>
        <w:tc>
          <w:tcPr>
            <w:tcW w:w="562" w:type="dxa"/>
            <w:vAlign w:val="center"/>
            <w:textDirection w:val="lrTb"/>
            <w:noWrap w:val="false"/>
          </w:tcPr>
          <w:p>
            <w:pPr>
              <w:pStyle w:val="736"/>
              <w:jc w:val="center"/>
              <w:rPr>
                <w:b/>
                <w:bCs/>
              </w:rPr>
            </w:pPr>
            <w:r>
              <w:t xml:space="preserve">1.6</w:t>
            </w:r>
            <w:r/>
          </w:p>
        </w:tc>
        <w:tc>
          <w:tcPr>
            <w:tcW w:w="5670" w:type="dxa"/>
            <w:textDirection w:val="lrTb"/>
            <w:noWrap w:val="false"/>
          </w:tcPr>
          <w:p>
            <w:pPr>
              <w:pStyle w:val="736"/>
              <w:rPr>
                <w:b/>
                <w:bCs/>
                <w:shd w:val="clear" w:color="auto" w:fill="ffffff"/>
              </w:rPr>
            </w:pPr>
            <w:r>
              <w:t xml:space="preserve">Перетворювач інтерфейсу</w:t>
            </w:r>
            <w:r/>
          </w:p>
        </w:tc>
        <w:tc>
          <w:tcPr>
            <w:tcW w:w="1701" w:type="dxa"/>
            <w:vAlign w:val="center"/>
            <w:textDirection w:val="lrTb"/>
            <w:noWrap w:val="false"/>
          </w:tcPr>
          <w:p>
            <w:pPr>
              <w:pStyle w:val="736"/>
              <w:jc w:val="center"/>
              <w:rPr>
                <w:b/>
                <w:bCs/>
              </w:rPr>
            </w:pPr>
            <w:r>
              <w:t xml:space="preserve">шт.</w:t>
            </w:r>
            <w:r/>
          </w:p>
        </w:tc>
        <w:tc>
          <w:tcPr>
            <w:tcW w:w="1701" w:type="dxa"/>
            <w:vAlign w:val="center"/>
            <w:textDirection w:val="lrTb"/>
            <w:noWrap w:val="false"/>
          </w:tcPr>
          <w:p>
            <w:pPr>
              <w:pStyle w:val="736"/>
              <w:jc w:val="center"/>
              <w:rPr>
                <w:b/>
                <w:bCs/>
              </w:rPr>
            </w:pPr>
            <w:r>
              <w:t xml:space="preserve">1</w:t>
            </w:r>
            <w:r/>
          </w:p>
        </w:tc>
      </w:tr>
      <w:tr>
        <w:trPr/>
        <w:tc>
          <w:tcPr>
            <w:tcW w:w="562" w:type="dxa"/>
            <w:vAlign w:val="center"/>
            <w:textDirection w:val="lrTb"/>
            <w:noWrap w:val="false"/>
          </w:tcPr>
          <w:p>
            <w:pPr>
              <w:pStyle w:val="736"/>
              <w:jc w:val="center"/>
              <w:rPr>
                <w:b/>
                <w:bCs/>
              </w:rPr>
            </w:pPr>
            <w:r>
              <w:t xml:space="preserve">1.7</w:t>
            </w:r>
            <w:r/>
          </w:p>
        </w:tc>
        <w:tc>
          <w:tcPr>
            <w:tcW w:w="5670" w:type="dxa"/>
            <w:textDirection w:val="lrTb"/>
            <w:noWrap w:val="false"/>
          </w:tcPr>
          <w:p>
            <w:pPr>
              <w:pStyle w:val="736"/>
              <w:rPr>
                <w:b/>
                <w:bCs/>
                <w:shd w:val="clear" w:color="auto" w:fill="ffffff"/>
              </w:rPr>
            </w:pPr>
            <w:r>
              <w:t xml:space="preserve">Монтажний набір</w:t>
            </w:r>
            <w:r/>
          </w:p>
        </w:tc>
        <w:tc>
          <w:tcPr>
            <w:tcW w:w="1701" w:type="dxa"/>
            <w:vAlign w:val="center"/>
            <w:textDirection w:val="lrTb"/>
            <w:noWrap w:val="false"/>
          </w:tcPr>
          <w:p>
            <w:pPr>
              <w:pStyle w:val="736"/>
              <w:jc w:val="center"/>
              <w:rPr>
                <w:b/>
                <w:bCs/>
              </w:rPr>
            </w:pPr>
            <w:r>
              <w:t xml:space="preserve">шт.</w:t>
            </w:r>
            <w:r/>
          </w:p>
        </w:tc>
        <w:tc>
          <w:tcPr>
            <w:tcW w:w="1701" w:type="dxa"/>
            <w:vAlign w:val="center"/>
            <w:textDirection w:val="lrTb"/>
            <w:noWrap w:val="false"/>
          </w:tcPr>
          <w:p>
            <w:pPr>
              <w:pStyle w:val="736"/>
              <w:jc w:val="center"/>
              <w:rPr>
                <w:b/>
                <w:bCs/>
              </w:rPr>
            </w:pPr>
            <w:r>
              <w:t xml:space="preserve">1</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та обов’язкове встановлення обладнання у приміщенні замовника.</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Пропозиція Учасника має містити чітке зазначення виробника, моделі для можливості перевірки запропонованого товару технічним вимогам Замовника. У разі </w:t>
      </w:r>
      <w:r>
        <w:rPr>
          <w:rFonts w:ascii="Times New Roman" w:hAnsi="Times New Roman" w:cs="Times New Roman"/>
          <w:sz w:val="24"/>
          <w:szCs w:val="24"/>
          <w:lang w:eastAsia="uk-UA"/>
        </w:rPr>
        <w:t xml:space="preserve">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w:t>
      </w:r>
      <w:r>
        <w:rPr>
          <w:rFonts w:ascii="Times New Roman" w:hAnsi="Times New Roman" w:cs="Times New Roman"/>
          <w:sz w:val="24"/>
          <w:szCs w:val="24"/>
          <w:lang w:eastAsia="uk-UA"/>
        </w:rPr>
        <w:t xml:space="preserve">рт чи інструкція з експлуатації українською мовою, гарантійні талони.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w:t>
      </w:r>
      <w:r/>
    </w:p>
    <w:p>
      <w:pPr>
        <w:pStyle w:val="748"/>
        <w:jc w:val="both"/>
        <w:rPr>
          <w:rStyle w:val="758"/>
          <w:b/>
          <w:bCs/>
          <w:i/>
          <w:iCs/>
          <w:sz w:val="24"/>
          <w:szCs w:val="24"/>
        </w:rPr>
      </w:pPr>
      <w:r>
        <w:rPr>
          <w:rFonts w:ascii="Times New Roman" w:hAnsi="Times New Roman"/>
          <w:sz w:val="24"/>
          <w:szCs w:val="24"/>
        </w:rPr>
        <w:t xml:space="preserve">9. </w:t>
      </w:r>
      <w:bookmarkStart w:id="0"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0"/>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48"/>
        <w:jc w:val="both"/>
        <w:rPr>
          <w:rStyle w:val="758"/>
          <w:sz w:val="24"/>
          <w:szCs w:val="24"/>
        </w:rPr>
      </w:pPr>
      <w:r>
        <w:rPr>
          <w:sz w:val="24"/>
          <w:szCs w:val="24"/>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9805" w:type="dxa"/>
        <w:tblInd w:w="-176" w:type="dxa"/>
        <w:tblLayout w:type="fixed"/>
        <w:tblLook w:val="04A0" w:firstRow="1" w:lastRow="0" w:firstColumn="1" w:lastColumn="0" w:noHBand="0" w:noVBand="1"/>
      </w:tblPr>
      <w:tblGrid>
        <w:gridCol w:w="592"/>
        <w:gridCol w:w="5103"/>
        <w:gridCol w:w="1819"/>
        <w:gridCol w:w="2291"/>
      </w:tblGrid>
      <w:tr>
        <w:trPr>
          <w:trHeight w:val="1020"/>
        </w:trPr>
        <w:tc>
          <w:tcPr>
            <w:shd w:val="clear" w:color="auto" w:fill="auto"/>
            <w:tcBorders>
              <w:top w:val="single" w:color="auto" w:sz="8" w:space="0"/>
              <w:left w:val="single" w:color="auto" w:sz="8" w:space="0"/>
              <w:bottom w:val="single" w:color="auto" w:sz="4" w:space="0"/>
              <w:right w:val="single" w:color="auto" w:sz="4" w:space="0"/>
            </w:tcBorders>
            <w:tcW w:w="592"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п/п</w:t>
            </w:r>
            <w:r/>
          </w:p>
        </w:tc>
        <w:tc>
          <w:tcPr>
            <w:shd w:val="clear" w:color="auto" w:fill="auto"/>
            <w:tcBorders>
              <w:top w:val="single" w:color="auto" w:sz="8" w:space="0"/>
              <w:left w:val="none" w:color="000000" w:sz="4" w:space="0"/>
              <w:bottom w:val="single" w:color="auto" w:sz="4" w:space="0"/>
              <w:right w:val="single" w:color="auto" w:sz="4" w:space="0"/>
            </w:tcBorders>
            <w:tcW w:w="5103"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shd w:val="clear" w:color="auto" w:fill="auto"/>
            <w:tcBorders>
              <w:top w:val="single" w:color="auto" w:sz="8" w:space="0"/>
              <w:left w:val="none" w:color="000000" w:sz="4" w:space="0"/>
              <w:bottom w:val="single" w:color="auto" w:sz="4" w:space="0"/>
              <w:right w:val="single" w:color="auto" w:sz="4" w:space="0"/>
            </w:tcBorders>
            <w:tcW w:w="1819"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Один. </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виміру</w:t>
            </w:r>
            <w:r/>
          </w:p>
        </w:tc>
        <w:tc>
          <w:tcPr>
            <w:shd w:val="clear" w:color="auto" w:fill="auto"/>
            <w:tcBorders>
              <w:top w:val="single" w:color="auto" w:sz="8" w:space="0"/>
              <w:left w:val="none" w:color="000000" w:sz="4" w:space="0"/>
              <w:bottom w:val="single" w:color="auto" w:sz="4" w:space="0"/>
              <w:right w:val="single" w:color="auto" w:sz="4" w:space="0"/>
            </w:tcBorders>
            <w:tcW w:w="2291"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300"/>
        </w:trPr>
        <w:tc>
          <w:tcPr>
            <w:shd w:val="clear" w:color="auto" w:fill="auto"/>
            <w:tcBorders>
              <w:top w:val="none" w:color="000000" w:sz="4" w:space="0"/>
              <w:left w:val="single" w:color="auto" w:sz="8" w:space="0"/>
              <w:bottom w:val="single" w:color="auto" w:sz="4" w:space="0"/>
              <w:right w:val="none" w:color="000000" w:sz="4" w:space="0"/>
            </w:tcBorders>
            <w:tcW w:w="5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none" w:color="000000" w:sz="4" w:space="0"/>
              <w:left w:val="single" w:color="auto" w:sz="4" w:space="0"/>
              <w:bottom w:val="single" w:color="auto" w:sz="4" w:space="0"/>
              <w:right w:val="single" w:color="auto" w:sz="4" w:space="0"/>
            </w:tcBorders>
            <w:tcW w:w="5103" w:type="dxa"/>
            <w:vAlign w:val="center"/>
            <w:textDirection w:val="lrTb"/>
            <w:noWrap w:val="false"/>
          </w:tcPr>
          <w:p>
            <w:pPr>
              <w:pStyle w:val="748"/>
              <w:rPr>
                <w:rFonts w:ascii="Times New Roman" w:hAnsi="Times New Roman"/>
                <w:sz w:val="24"/>
                <w:szCs w:val="24"/>
              </w:rPr>
            </w:pPr>
            <w:r>
              <w:rPr>
                <w:rFonts w:ascii="Times New Roman" w:hAnsi="Times New Roman"/>
                <w:sz w:val="24"/>
                <w:szCs w:val="24"/>
              </w:rPr>
              <w:t xml:space="preserve">Блок живлення імпульсний, вихід: +12 В/3 А, роз'єм живлення; вхід: ~220 В, мережевий шнур із вилкою в розетку. Розміри 118 x 53 x 33 мм</w:t>
            </w:r>
            <w:r/>
          </w:p>
        </w:tc>
        <w:tc>
          <w:tcPr>
            <w:shd w:val="clear" w:color="auto" w:fill="auto"/>
            <w:tcBorders>
              <w:top w:val="none" w:color="000000" w:sz="4" w:space="0"/>
              <w:left w:val="none" w:color="000000" w:sz="4" w:space="0"/>
              <w:bottom w:val="single" w:color="auto" w:sz="4" w:space="0"/>
              <w:right w:val="single" w:color="auto" w:sz="4" w:space="0"/>
            </w:tcBorders>
            <w:tcW w:w="1819" w:type="dxa"/>
            <w:vAlign w:val="center"/>
            <w:textDirection w:val="lrTb"/>
            <w:noWrap w:val="false"/>
          </w:tcPr>
          <w:p>
            <w:pPr>
              <w:pStyle w:val="748"/>
              <w:jc w:val="center"/>
              <w:rPr>
                <w:rFonts w:ascii="Times New Roman" w:hAnsi="Times New Roman"/>
                <w:sz w:val="24"/>
                <w:szCs w:val="24"/>
              </w:rPr>
            </w:pPr>
            <w:r>
              <w:rPr>
                <w:rFonts w:ascii="Times New Roman" w:hAnsi="Times New Roman"/>
                <w:sz w:val="24"/>
                <w:szCs w:val="24"/>
              </w:rPr>
              <w:t xml:space="preserve">шт.</w:t>
            </w:r>
            <w:r/>
          </w:p>
        </w:tc>
        <w:tc>
          <w:tcPr>
            <w:shd w:val="clear" w:color="000000" w:fill="ffffff"/>
            <w:tcBorders>
              <w:top w:val="none" w:color="000000" w:sz="4" w:space="0"/>
              <w:left w:val="none" w:color="000000" w:sz="4" w:space="0"/>
              <w:bottom w:val="single" w:color="auto" w:sz="4" w:space="0"/>
              <w:right w:val="single" w:color="auto" w:sz="4" w:space="0"/>
            </w:tcBorders>
            <w:tcW w:w="2291" w:type="dxa"/>
            <w:vAlign w:val="center"/>
            <w:textDirection w:val="lrTb"/>
            <w:noWrap/>
          </w:tcPr>
          <w:p>
            <w:pPr>
              <w:pStyle w:val="748"/>
              <w:jc w:val="center"/>
              <w:rPr>
                <w:rFonts w:ascii="Times New Roman" w:hAnsi="Times New Roman"/>
                <w:sz w:val="24"/>
                <w:szCs w:val="24"/>
              </w:rPr>
            </w:pPr>
            <w:r>
              <w:rPr>
                <w:rFonts w:ascii="Times New Roman" w:hAnsi="Times New Roman"/>
                <w:sz w:val="24"/>
                <w:szCs w:val="24"/>
              </w:rPr>
              <w:t xml:space="preserve">1</w:t>
            </w:r>
            <w:r/>
          </w:p>
        </w:tc>
      </w:tr>
      <w:tr>
        <w:trPr>
          <w:trHeight w:val="624"/>
        </w:trPr>
        <w:tc>
          <w:tcPr>
            <w:shd w:val="clear" w:color="auto" w:fill="auto"/>
            <w:tcBorders>
              <w:top w:val="none" w:color="000000" w:sz="4" w:space="0"/>
              <w:left w:val="single" w:color="auto" w:sz="8" w:space="0"/>
              <w:bottom w:val="single" w:color="auto" w:sz="4" w:space="0"/>
              <w:right w:val="none" w:color="000000" w:sz="4" w:space="0"/>
            </w:tcBorders>
            <w:tcW w:w="5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none" w:color="000000" w:sz="4" w:space="0"/>
              <w:left w:val="single" w:color="auto" w:sz="4" w:space="0"/>
              <w:bottom w:val="single" w:color="auto" w:sz="4" w:space="0"/>
              <w:right w:val="single" w:color="auto" w:sz="4" w:space="0"/>
            </w:tcBorders>
            <w:tcW w:w="5103" w:type="dxa"/>
            <w:vAlign w:val="center"/>
            <w:textDirection w:val="lrTb"/>
            <w:noWrap w:val="false"/>
          </w:tcPr>
          <w:p>
            <w:pPr>
              <w:pStyle w:val="748"/>
              <w:rPr>
                <w:rFonts w:ascii="Times New Roman" w:hAnsi="Times New Roman"/>
                <w:sz w:val="24"/>
                <w:szCs w:val="24"/>
                <w:shd w:val="clear" w:color="auto" w:fill="f9f9f9"/>
              </w:rPr>
            </w:pPr>
            <w:r>
              <w:rPr>
                <w:rFonts w:ascii="Times New Roman" w:hAnsi="Times New Roman"/>
                <w:sz w:val="24"/>
                <w:szCs w:val="24"/>
                <w:shd w:val="clear" w:color="auto" w:fill="f9f9f9"/>
              </w:rPr>
              <w:t xml:space="preserve">Кабель UTP мідь зовнішній, кат.5е, вуличний, </w:t>
            </w:r>
            <w:r>
              <w:rPr>
                <w:rFonts w:ascii="Times New Roman" w:hAnsi="Times New Roman"/>
                <w:sz w:val="24"/>
                <w:szCs w:val="24"/>
                <w:shd w:val="clear" w:color="auto" w:fill="f9f9f9"/>
              </w:rPr>
              <w:t xml:space="preserve">Одескабель</w:t>
            </w:r>
            <w:r/>
          </w:p>
          <w:p>
            <w:pPr>
              <w:pStyle w:val="748"/>
              <w:rPr>
                <w:rFonts w:ascii="Times New Roman" w:hAnsi="Times New Roman"/>
                <w:sz w:val="24"/>
                <w:szCs w:val="24"/>
                <w:shd w:val="clear" w:color="auto" w:fill="ffffff"/>
              </w:rPr>
            </w:pPr>
            <w:r>
              <w:rPr>
                <w:rFonts w:ascii="Times New Roman" w:hAnsi="Times New Roman"/>
                <w:sz w:val="24"/>
                <w:szCs w:val="24"/>
                <w:shd w:val="clear" w:color="auto" w:fill="ffffff"/>
              </w:rPr>
              <w:t xml:space="preserve">Кількість жил 8</w:t>
            </w:r>
            <w:r/>
          </w:p>
          <w:p>
            <w:pPr>
              <w:pStyle w:val="748"/>
              <w:rPr>
                <w:rFonts w:ascii="Times New Roman" w:hAnsi="Times New Roman"/>
                <w:sz w:val="24"/>
                <w:szCs w:val="24"/>
              </w:rPr>
            </w:pPr>
            <w:r>
              <w:rPr>
                <w:rFonts w:ascii="Times New Roman" w:hAnsi="Times New Roman"/>
                <w:sz w:val="24"/>
                <w:szCs w:val="24"/>
                <w:shd w:val="clear" w:color="auto" w:fill="ffffff"/>
              </w:rPr>
              <w:t xml:space="preserve">Переріз 0.51мм2</w:t>
            </w:r>
            <w:r/>
          </w:p>
        </w:tc>
        <w:tc>
          <w:tcPr>
            <w:shd w:val="clear" w:color="auto" w:fill="auto"/>
            <w:tcBorders>
              <w:top w:val="none" w:color="000000" w:sz="4" w:space="0"/>
              <w:left w:val="none" w:color="000000" w:sz="4" w:space="0"/>
              <w:bottom w:val="single" w:color="auto" w:sz="4" w:space="0"/>
              <w:right w:val="single" w:color="auto" w:sz="4" w:space="0"/>
            </w:tcBorders>
            <w:tcW w:w="1819" w:type="dxa"/>
            <w:vAlign w:val="center"/>
            <w:textDirection w:val="lrTb"/>
            <w:noWrap w:val="false"/>
          </w:tcPr>
          <w:p>
            <w:pPr>
              <w:pStyle w:val="748"/>
              <w:jc w:val="center"/>
              <w:rPr>
                <w:rFonts w:ascii="Times New Roman" w:hAnsi="Times New Roman"/>
                <w:sz w:val="24"/>
                <w:szCs w:val="24"/>
              </w:rPr>
            </w:pPr>
            <w:r>
              <w:rPr>
                <w:rFonts w:ascii="Times New Roman" w:hAnsi="Times New Roman"/>
                <w:sz w:val="24"/>
                <w:szCs w:val="24"/>
              </w:rPr>
              <w:t xml:space="preserve">м.</w:t>
            </w:r>
            <w:r/>
          </w:p>
        </w:tc>
        <w:tc>
          <w:tcPr>
            <w:shd w:val="clear" w:color="000000" w:fill="ffffff"/>
            <w:tcBorders>
              <w:top w:val="none" w:color="000000" w:sz="4" w:space="0"/>
              <w:left w:val="none" w:color="000000" w:sz="4" w:space="0"/>
              <w:bottom w:val="single" w:color="auto" w:sz="4" w:space="0"/>
              <w:right w:val="single" w:color="auto" w:sz="4" w:space="0"/>
            </w:tcBorders>
            <w:tcW w:w="2291" w:type="dxa"/>
            <w:vAlign w:val="center"/>
            <w:textDirection w:val="lrTb"/>
            <w:noWrap/>
          </w:tcPr>
          <w:p>
            <w:pPr>
              <w:pStyle w:val="748"/>
              <w:jc w:val="center"/>
              <w:rPr>
                <w:rFonts w:ascii="Times New Roman" w:hAnsi="Times New Roman"/>
                <w:sz w:val="24"/>
                <w:szCs w:val="24"/>
              </w:rPr>
            </w:pPr>
            <w:r>
              <w:rPr>
                <w:rFonts w:ascii="Times New Roman" w:hAnsi="Times New Roman"/>
                <w:sz w:val="24"/>
                <w:szCs w:val="24"/>
              </w:rPr>
              <w:t xml:space="preserve">50</w:t>
            </w:r>
            <w:r/>
          </w:p>
        </w:tc>
      </w:tr>
      <w:tr>
        <w:trPr>
          <w:trHeight w:val="300"/>
        </w:trPr>
        <w:tc>
          <w:tcPr>
            <w:shd w:val="clear" w:color="auto" w:fill="auto"/>
            <w:tcBorders>
              <w:top w:val="none" w:color="000000" w:sz="4" w:space="0"/>
              <w:left w:val="single" w:color="auto" w:sz="8" w:space="0"/>
              <w:bottom w:val="single" w:color="auto" w:sz="4" w:space="0"/>
              <w:right w:val="none" w:color="000000" w:sz="4" w:space="0"/>
            </w:tcBorders>
            <w:tcW w:w="5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none" w:color="000000" w:sz="4" w:space="0"/>
              <w:left w:val="single" w:color="auto" w:sz="4" w:space="0"/>
              <w:bottom w:val="single" w:color="auto" w:sz="4" w:space="0"/>
              <w:right w:val="single" w:color="auto" w:sz="4" w:space="0"/>
            </w:tcBorders>
            <w:tcW w:w="5103" w:type="dxa"/>
            <w:vAlign w:val="center"/>
            <w:textDirection w:val="lrTb"/>
            <w:noWrap w:val="false"/>
          </w:tcPr>
          <w:p>
            <w:pPr>
              <w:pStyle w:val="748"/>
              <w:rPr>
                <w:rFonts w:ascii="Times New Roman" w:hAnsi="Times New Roman"/>
                <w:sz w:val="24"/>
                <w:szCs w:val="24"/>
                <w:shd w:val="clear" w:color="auto" w:fill="f9f9f9"/>
              </w:rPr>
            </w:pPr>
            <w:r>
              <w:rPr>
                <w:rFonts w:ascii="Times New Roman" w:hAnsi="Times New Roman"/>
                <w:sz w:val="24"/>
                <w:szCs w:val="24"/>
              </w:rPr>
              <w:t xml:space="preserve">Зчитувач </w:t>
            </w:r>
            <w:r>
              <w:rPr>
                <w:rFonts w:ascii="Times New Roman" w:hAnsi="Times New Roman"/>
                <w:sz w:val="24"/>
                <w:szCs w:val="24"/>
              </w:rPr>
              <w:t xml:space="preserve">мультиформатний</w:t>
            </w:r>
            <w:r/>
          </w:p>
          <w:p>
            <w:pPr>
              <w:pStyle w:val="748"/>
              <w:rPr>
                <w:rFonts w:ascii="Times New Roman" w:hAnsi="Times New Roman"/>
                <w:sz w:val="24"/>
                <w:szCs w:val="24"/>
              </w:rPr>
            </w:pPr>
            <w:r>
              <w:rPr>
                <w:rFonts w:ascii="Times New Roman" w:hAnsi="Times New Roman"/>
                <w:sz w:val="24"/>
                <w:szCs w:val="24"/>
                <w:shd w:val="clear" w:color="auto" w:fill="f9f9f9"/>
              </w:rPr>
              <w:t xml:space="preserve">Стандарт IP65;</w:t>
            </w:r>
            <w:r>
              <w:rPr>
                <w:rFonts w:ascii="Times New Roman" w:hAnsi="Times New Roman"/>
                <w:sz w:val="24"/>
                <w:szCs w:val="24"/>
              </w:rPr>
              <w:br/>
            </w:r>
            <w:r>
              <w:rPr>
                <w:rFonts w:ascii="Times New Roman" w:hAnsi="Times New Roman"/>
                <w:sz w:val="24"/>
                <w:szCs w:val="24"/>
                <w:shd w:val="clear" w:color="auto" w:fill="f9f9f9"/>
              </w:rPr>
              <w:t xml:space="preserve">Mifare</w:t>
            </w:r>
            <w:r>
              <w:rPr>
                <w:rFonts w:ascii="Times New Roman" w:hAnsi="Times New Roman"/>
                <w:sz w:val="24"/>
                <w:szCs w:val="24"/>
                <w:shd w:val="clear" w:color="auto" w:fill="f9f9f9"/>
              </w:rPr>
              <w:t xml:space="preserve"> 13.56 МГц, NFC 13.56 МГц, карти 125 кГц ASK/FSK, 2.4 ГГц мобільний ID, U-</w:t>
            </w:r>
            <w:r>
              <w:rPr>
                <w:rFonts w:ascii="Times New Roman" w:hAnsi="Times New Roman"/>
                <w:sz w:val="24"/>
                <w:szCs w:val="24"/>
                <w:shd w:val="clear" w:color="auto" w:fill="f9f9f9"/>
              </w:rPr>
              <w:t xml:space="preserve">Prox</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Tag</w:t>
            </w:r>
            <w:r>
              <w:rPr>
                <w:rFonts w:ascii="Times New Roman" w:hAnsi="Times New Roman"/>
                <w:sz w:val="24"/>
                <w:szCs w:val="24"/>
                <w:shd w:val="clear" w:color="auto" w:fill="f9f9f9"/>
              </w:rPr>
              <w:t xml:space="preserve">, U-</w:t>
            </w:r>
            <w:r>
              <w:rPr>
                <w:rFonts w:ascii="Times New Roman" w:hAnsi="Times New Roman"/>
                <w:sz w:val="24"/>
                <w:szCs w:val="24"/>
                <w:shd w:val="clear" w:color="auto" w:fill="f9f9f9"/>
              </w:rPr>
              <w:t xml:space="preserve">Prox</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Auto</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Tag</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PayPass</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Contactless</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PayWave</w:t>
            </w:r>
            <w:r>
              <w:rPr>
                <w:rFonts w:ascii="Times New Roman" w:hAnsi="Times New Roman"/>
                <w:sz w:val="24"/>
                <w:szCs w:val="24"/>
                <w:shd w:val="clear" w:color="auto" w:fill="f9f9f9"/>
              </w:rPr>
              <w:t xml:space="preserve">;</w:t>
            </w:r>
            <w:r>
              <w:rPr>
                <w:rFonts w:ascii="Times New Roman" w:hAnsi="Times New Roman"/>
                <w:sz w:val="24"/>
                <w:szCs w:val="24"/>
              </w:rPr>
              <w:br/>
            </w:r>
            <w:r>
              <w:rPr>
                <w:rFonts w:ascii="Times New Roman" w:hAnsi="Times New Roman"/>
                <w:sz w:val="24"/>
                <w:szCs w:val="24"/>
                <w:shd w:val="clear" w:color="auto" w:fill="f9f9f9"/>
              </w:rPr>
              <w:t xml:space="preserve">Доступ за картою/ідентифікатором/паролем;</w:t>
            </w:r>
            <w:r>
              <w:rPr>
                <w:rFonts w:ascii="Times New Roman" w:hAnsi="Times New Roman"/>
                <w:sz w:val="24"/>
                <w:szCs w:val="24"/>
              </w:rPr>
              <w:br/>
            </w:r>
            <w:r>
              <w:rPr>
                <w:rFonts w:ascii="Times New Roman" w:hAnsi="Times New Roman"/>
                <w:sz w:val="24"/>
                <w:szCs w:val="24"/>
                <w:shd w:val="clear" w:color="auto" w:fill="f9f9f9"/>
              </w:rPr>
              <w:t xml:space="preserve">Wiegand</w:t>
            </w:r>
            <w:r>
              <w:rPr>
                <w:rFonts w:ascii="Times New Roman" w:hAnsi="Times New Roman"/>
                <w:sz w:val="24"/>
                <w:szCs w:val="24"/>
                <w:shd w:val="clear" w:color="auto" w:fill="f9f9f9"/>
              </w:rPr>
              <w:t xml:space="preserve"> 26, 32, 34, 37, 40, 42, 56, 58, 64 біти, </w:t>
            </w:r>
            <w:r>
              <w:rPr>
                <w:rFonts w:ascii="Times New Roman" w:hAnsi="Times New Roman"/>
                <w:sz w:val="24"/>
                <w:szCs w:val="24"/>
                <w:shd w:val="clear" w:color="auto" w:fill="f9f9f9"/>
              </w:rPr>
              <w:t xml:space="preserve">Wiegand</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auto</w:t>
            </w:r>
            <w:r>
              <w:rPr>
                <w:rFonts w:ascii="Times New Roman" w:hAnsi="Times New Roman"/>
                <w:sz w:val="24"/>
                <w:szCs w:val="24"/>
                <w:shd w:val="clear" w:color="auto" w:fill="f9f9f9"/>
              </w:rPr>
              <w:t xml:space="preserve"> та </w:t>
            </w:r>
            <w:r>
              <w:rPr>
                <w:rFonts w:ascii="Times New Roman" w:hAnsi="Times New Roman"/>
                <w:sz w:val="24"/>
                <w:szCs w:val="24"/>
                <w:shd w:val="clear" w:color="auto" w:fill="f9f9f9"/>
              </w:rPr>
              <w:t xml:space="preserve">TouchMemory</w:t>
            </w:r>
            <w:r>
              <w:rPr>
                <w:rFonts w:ascii="Times New Roman" w:hAnsi="Times New Roman"/>
                <w:sz w:val="24"/>
                <w:szCs w:val="24"/>
                <w:shd w:val="clear" w:color="auto" w:fill="f9f9f9"/>
              </w:rPr>
              <w:t xml:space="preserve">, RS-232;</w:t>
            </w:r>
            <w:r>
              <w:rPr>
                <w:rFonts w:ascii="Times New Roman" w:hAnsi="Times New Roman"/>
                <w:sz w:val="24"/>
                <w:szCs w:val="24"/>
              </w:rPr>
              <w:br/>
            </w:r>
            <w:r>
              <w:rPr>
                <w:rFonts w:ascii="Times New Roman" w:hAnsi="Times New Roman"/>
                <w:sz w:val="24"/>
                <w:szCs w:val="24"/>
                <w:shd w:val="clear" w:color="auto" w:fill="f9f9f9"/>
              </w:rPr>
              <w:t xml:space="preserve">12V DC</w:t>
            </w:r>
            <w:r/>
          </w:p>
        </w:tc>
        <w:tc>
          <w:tcPr>
            <w:shd w:val="clear" w:color="auto" w:fill="auto"/>
            <w:tcBorders>
              <w:top w:val="none" w:color="000000" w:sz="4" w:space="0"/>
              <w:left w:val="none" w:color="000000" w:sz="4" w:space="0"/>
              <w:bottom w:val="single" w:color="auto" w:sz="4" w:space="0"/>
              <w:right w:val="single" w:color="auto" w:sz="4" w:space="0"/>
            </w:tcBorders>
            <w:tcW w:w="1819" w:type="dxa"/>
            <w:vAlign w:val="center"/>
            <w:textDirection w:val="lrTb"/>
            <w:noWrap w:val="false"/>
          </w:tcPr>
          <w:p>
            <w:pPr>
              <w:pStyle w:val="748"/>
              <w:jc w:val="center"/>
              <w:rPr>
                <w:rFonts w:ascii="Times New Roman" w:hAnsi="Times New Roman"/>
                <w:sz w:val="24"/>
                <w:szCs w:val="24"/>
              </w:rPr>
            </w:pPr>
            <w:r>
              <w:rPr>
                <w:rFonts w:ascii="Times New Roman" w:hAnsi="Times New Roman"/>
                <w:sz w:val="24"/>
                <w:szCs w:val="24"/>
              </w:rPr>
              <w:t xml:space="preserve">шт.</w:t>
            </w:r>
            <w:r/>
          </w:p>
        </w:tc>
        <w:tc>
          <w:tcPr>
            <w:shd w:val="clear" w:color="000000" w:fill="ffffff"/>
            <w:tcBorders>
              <w:top w:val="none" w:color="000000" w:sz="4" w:space="0"/>
              <w:left w:val="none" w:color="000000" w:sz="4" w:space="0"/>
              <w:bottom w:val="single" w:color="auto" w:sz="4" w:space="0"/>
              <w:right w:val="single" w:color="auto" w:sz="4" w:space="0"/>
            </w:tcBorders>
            <w:tcW w:w="2291" w:type="dxa"/>
            <w:vAlign w:val="center"/>
            <w:textDirection w:val="lrTb"/>
            <w:noWrap/>
          </w:tcPr>
          <w:p>
            <w:pPr>
              <w:pStyle w:val="748"/>
              <w:jc w:val="center"/>
              <w:rPr>
                <w:rFonts w:ascii="Times New Roman" w:hAnsi="Times New Roman"/>
                <w:sz w:val="24"/>
                <w:szCs w:val="24"/>
              </w:rPr>
            </w:pPr>
            <w:r>
              <w:rPr>
                <w:rFonts w:ascii="Times New Roman" w:hAnsi="Times New Roman"/>
                <w:sz w:val="24"/>
                <w:szCs w:val="24"/>
              </w:rPr>
              <w:t xml:space="preserve">1</w:t>
            </w:r>
            <w:r/>
          </w:p>
        </w:tc>
      </w:tr>
      <w:tr>
        <w:trPr>
          <w:trHeight w:val="600"/>
        </w:trPr>
        <w:tc>
          <w:tcPr>
            <w:shd w:val="clear" w:color="auto" w:fill="auto"/>
            <w:tcBorders>
              <w:top w:val="none" w:color="000000" w:sz="4" w:space="0"/>
              <w:left w:val="single" w:color="auto" w:sz="8" w:space="0"/>
              <w:bottom w:val="single" w:color="auto" w:sz="4" w:space="0"/>
              <w:right w:val="none" w:color="000000" w:sz="4" w:space="0"/>
            </w:tcBorders>
            <w:tcW w:w="5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none" w:color="000000" w:sz="4" w:space="0"/>
              <w:left w:val="single" w:color="auto" w:sz="4" w:space="0"/>
              <w:bottom w:val="single" w:color="auto" w:sz="4" w:space="0"/>
              <w:right w:val="single" w:color="auto" w:sz="4" w:space="0"/>
            </w:tcBorders>
            <w:tcW w:w="5103" w:type="dxa"/>
            <w:vAlign w:val="center"/>
            <w:textDirection w:val="lrTb"/>
            <w:noWrap w:val="false"/>
          </w:tcPr>
          <w:p>
            <w:pPr>
              <w:pStyle w:val="748"/>
              <w:rPr>
                <w:rFonts w:ascii="Times New Roman" w:hAnsi="Times New Roman"/>
                <w:sz w:val="24"/>
                <w:szCs w:val="24"/>
                <w:shd w:val="clear" w:color="auto" w:fill="ffffff"/>
              </w:rPr>
            </w:pPr>
            <w:r>
              <w:rPr>
                <w:rFonts w:ascii="Times New Roman" w:hAnsi="Times New Roman"/>
                <w:sz w:val="24"/>
                <w:szCs w:val="24"/>
                <w:shd w:val="clear" w:color="auto" w:fill="ffffff"/>
              </w:rPr>
              <w:t xml:space="preserve">Прилад доступу </w:t>
            </w:r>
            <w:r>
              <w:rPr>
                <w:rFonts w:ascii="Times New Roman" w:hAnsi="Times New Roman"/>
                <w:sz w:val="24"/>
                <w:szCs w:val="24"/>
              </w:rPr>
              <w:t xml:space="preserve">керування (ліфтами)</w:t>
            </w:r>
            <w:r>
              <w:rPr>
                <w:rFonts w:ascii="Times New Roman" w:hAnsi="Times New Roman"/>
                <w:sz w:val="24"/>
                <w:szCs w:val="24"/>
                <w:shd w:val="clear" w:color="auto" w:fill="ffffff"/>
              </w:rPr>
              <w:t xml:space="preserve"> забезпечення функції керування зовнішніми пристроями (ліфтами)</w:t>
            </w:r>
            <w:r/>
          </w:p>
          <w:p>
            <w:pPr>
              <w:pStyle w:val="748"/>
              <w:rPr>
                <w:rFonts w:ascii="Times New Roman" w:hAnsi="Times New Roman"/>
                <w:sz w:val="24"/>
                <w:szCs w:val="24"/>
              </w:rPr>
            </w:pPr>
            <w:r>
              <w:rPr>
                <w:rFonts w:ascii="Times New Roman" w:hAnsi="Times New Roman"/>
                <w:sz w:val="24"/>
                <w:szCs w:val="24"/>
                <w:shd w:val="clear" w:color="auto" w:fill="f9f9f9"/>
              </w:rPr>
              <w:t xml:space="preserve">Інтерфейс зв'язку: </w:t>
            </w:r>
            <w:r>
              <w:rPr>
                <w:rFonts w:ascii="Times New Roman" w:hAnsi="Times New Roman"/>
                <w:sz w:val="24"/>
                <w:szCs w:val="24"/>
                <w:shd w:val="clear" w:color="auto" w:fill="f9f9f9"/>
              </w:rPr>
              <w:t xml:space="preserve">Ethernet</w:t>
            </w:r>
            <w:r>
              <w:rPr>
                <w:rFonts w:ascii="Times New Roman" w:hAnsi="Times New Roman"/>
                <w:sz w:val="24"/>
                <w:szCs w:val="24"/>
                <w:shd w:val="clear" w:color="auto" w:fill="f9f9f9"/>
              </w:rPr>
              <w:t xml:space="preserve"> 100 Мбіт / с; Ідентифікаторів: 32 000; Подій: 47 000; Кількість поверхів: До 64-х; Модулів на шині: RM - до 8-; Живлення: +12В</w:t>
            </w:r>
            <w:r/>
          </w:p>
        </w:tc>
        <w:tc>
          <w:tcPr>
            <w:shd w:val="clear" w:color="auto" w:fill="auto"/>
            <w:tcBorders>
              <w:top w:val="none" w:color="000000" w:sz="4" w:space="0"/>
              <w:left w:val="none" w:color="000000" w:sz="4" w:space="0"/>
              <w:bottom w:val="single" w:color="auto" w:sz="4" w:space="0"/>
              <w:right w:val="single" w:color="auto" w:sz="4" w:space="0"/>
            </w:tcBorders>
            <w:tcW w:w="1819" w:type="dxa"/>
            <w:vAlign w:val="center"/>
            <w:textDirection w:val="lrTb"/>
            <w:noWrap w:val="false"/>
          </w:tcPr>
          <w:p>
            <w:pPr>
              <w:pStyle w:val="748"/>
              <w:jc w:val="center"/>
              <w:rPr>
                <w:rFonts w:ascii="Times New Roman" w:hAnsi="Times New Roman"/>
                <w:sz w:val="24"/>
                <w:szCs w:val="24"/>
              </w:rPr>
            </w:pPr>
            <w:r>
              <w:rPr>
                <w:rFonts w:ascii="Times New Roman" w:hAnsi="Times New Roman"/>
                <w:sz w:val="24"/>
                <w:szCs w:val="24"/>
              </w:rPr>
              <w:t xml:space="preserve">шт.</w:t>
            </w:r>
            <w:r/>
          </w:p>
        </w:tc>
        <w:tc>
          <w:tcPr>
            <w:shd w:val="clear" w:color="000000" w:fill="ffffff"/>
            <w:tcBorders>
              <w:top w:val="none" w:color="000000" w:sz="4" w:space="0"/>
              <w:left w:val="none" w:color="000000" w:sz="4" w:space="0"/>
              <w:bottom w:val="single" w:color="auto" w:sz="4" w:space="0"/>
              <w:right w:val="single" w:color="auto" w:sz="4" w:space="0"/>
            </w:tcBorders>
            <w:tcW w:w="2291" w:type="dxa"/>
            <w:vAlign w:val="center"/>
            <w:textDirection w:val="lrTb"/>
            <w:noWrap/>
          </w:tcPr>
          <w:p>
            <w:pPr>
              <w:pStyle w:val="748"/>
              <w:jc w:val="center"/>
              <w:rPr>
                <w:rFonts w:ascii="Times New Roman" w:hAnsi="Times New Roman"/>
                <w:sz w:val="24"/>
                <w:szCs w:val="24"/>
              </w:rPr>
            </w:pPr>
            <w:r>
              <w:rPr>
                <w:rFonts w:ascii="Times New Roman" w:hAnsi="Times New Roman"/>
                <w:sz w:val="24"/>
                <w:szCs w:val="24"/>
              </w:rPr>
              <w:t xml:space="preserve">1</w:t>
            </w:r>
            <w:r/>
          </w:p>
        </w:tc>
      </w:tr>
      <w:tr>
        <w:trPr>
          <w:trHeight w:val="528"/>
        </w:trPr>
        <w:tc>
          <w:tcPr>
            <w:shd w:val="clear" w:color="auto" w:fill="auto"/>
            <w:tcBorders>
              <w:top w:val="none" w:color="000000" w:sz="4" w:space="0"/>
              <w:left w:val="single" w:color="auto" w:sz="8" w:space="0"/>
              <w:bottom w:val="single" w:color="auto" w:sz="4" w:space="0"/>
              <w:right w:val="none" w:color="000000" w:sz="4" w:space="0"/>
            </w:tcBorders>
            <w:tcW w:w="5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none" w:color="000000" w:sz="4" w:space="0"/>
              <w:left w:val="single" w:color="auto" w:sz="4" w:space="0"/>
              <w:bottom w:val="single" w:color="auto" w:sz="4" w:space="0"/>
              <w:right w:val="single" w:color="auto" w:sz="4" w:space="0"/>
            </w:tcBorders>
            <w:tcW w:w="5103" w:type="dxa"/>
            <w:vAlign w:val="center"/>
            <w:textDirection w:val="lrTb"/>
            <w:noWrap w:val="false"/>
          </w:tcPr>
          <w:p>
            <w:pPr>
              <w:pStyle w:val="748"/>
              <w:rPr>
                <w:rFonts w:ascii="Times New Roman" w:hAnsi="Times New Roman"/>
                <w:sz w:val="24"/>
                <w:szCs w:val="24"/>
                <w:shd w:val="clear" w:color="auto" w:fill="f9f9f9"/>
              </w:rPr>
            </w:pPr>
            <w:r>
              <w:rPr>
                <w:rFonts w:ascii="Times New Roman" w:hAnsi="Times New Roman"/>
                <w:sz w:val="24"/>
                <w:szCs w:val="24"/>
              </w:rPr>
              <w:t xml:space="preserve">Релейний виконавчий модуль ліфтового контролера</w:t>
            </w:r>
            <w:r/>
          </w:p>
          <w:p>
            <w:pPr>
              <w:pStyle w:val="748"/>
              <w:rPr>
                <w:rFonts w:ascii="Times New Roman" w:hAnsi="Times New Roman"/>
                <w:sz w:val="24"/>
                <w:szCs w:val="24"/>
              </w:rPr>
            </w:pPr>
            <w:r>
              <w:rPr>
                <w:rFonts w:ascii="Times New Roman" w:hAnsi="Times New Roman"/>
                <w:sz w:val="24"/>
                <w:szCs w:val="24"/>
                <w:shd w:val="clear" w:color="auto" w:fill="f9f9f9"/>
              </w:rPr>
              <w:t xml:space="preserve">Інтерфейс зв'язку RS485; Виходів 8; Входів 8; Контроль відкриття корпусу - </w:t>
            </w:r>
            <w:r>
              <w:rPr>
                <w:rFonts w:ascii="Times New Roman" w:hAnsi="Times New Roman"/>
                <w:sz w:val="24"/>
                <w:szCs w:val="24"/>
                <w:shd w:val="clear" w:color="auto" w:fill="f9f9f9"/>
              </w:rPr>
              <w:t xml:space="preserve">тампер</w:t>
            </w:r>
            <w:r>
              <w:rPr>
                <w:rFonts w:ascii="Times New Roman" w:hAnsi="Times New Roman"/>
                <w:sz w:val="24"/>
                <w:szCs w:val="24"/>
                <w:shd w:val="clear" w:color="auto" w:fill="f9f9f9"/>
              </w:rPr>
              <w:t xml:space="preserve"> (TMP); Живлення +12 В; </w:t>
            </w:r>
            <w:r>
              <w:rPr>
                <w:rFonts w:ascii="Times New Roman" w:hAnsi="Times New Roman"/>
                <w:sz w:val="24"/>
                <w:szCs w:val="24"/>
                <w:shd w:val="clear" w:color="auto" w:fill="f9f9f9"/>
              </w:rPr>
              <w:t xml:space="preserve">Автоконфігурація</w:t>
            </w:r>
            <w:r>
              <w:rPr>
                <w:rFonts w:ascii="Times New Roman" w:hAnsi="Times New Roman"/>
                <w:sz w:val="24"/>
                <w:szCs w:val="24"/>
                <w:shd w:val="clear" w:color="auto" w:fill="f9f9f9"/>
              </w:rPr>
              <w:t xml:space="preserve"> через U-</w:t>
            </w:r>
            <w:r>
              <w:rPr>
                <w:rFonts w:ascii="Times New Roman" w:hAnsi="Times New Roman"/>
                <w:sz w:val="24"/>
                <w:szCs w:val="24"/>
                <w:shd w:val="clear" w:color="auto" w:fill="f9f9f9"/>
              </w:rPr>
              <w:t xml:space="preserve">Prox</w:t>
            </w:r>
            <w:r>
              <w:rPr>
                <w:rFonts w:ascii="Times New Roman" w:hAnsi="Times New Roman"/>
                <w:sz w:val="24"/>
                <w:szCs w:val="24"/>
                <w:shd w:val="clear" w:color="auto" w:fill="f9f9f9"/>
              </w:rPr>
              <w:t xml:space="preserve"> IC E; Напруга живлення +10,5 - + 15,0 В; Максимальний струм: не більше 250 </w:t>
            </w:r>
            <w:r>
              <w:rPr>
                <w:rFonts w:ascii="Times New Roman" w:hAnsi="Times New Roman"/>
                <w:sz w:val="24"/>
                <w:szCs w:val="24"/>
                <w:shd w:val="clear" w:color="auto" w:fill="f9f9f9"/>
              </w:rPr>
              <w:t xml:space="preserve">мА</w:t>
            </w:r>
            <w:r/>
          </w:p>
        </w:tc>
        <w:tc>
          <w:tcPr>
            <w:shd w:val="clear" w:color="auto" w:fill="auto"/>
            <w:tcBorders>
              <w:top w:val="none" w:color="000000" w:sz="4" w:space="0"/>
              <w:left w:val="none" w:color="000000" w:sz="4" w:space="0"/>
              <w:bottom w:val="single" w:color="auto" w:sz="4" w:space="0"/>
              <w:right w:val="single" w:color="auto" w:sz="4" w:space="0"/>
            </w:tcBorders>
            <w:tcW w:w="1819" w:type="dxa"/>
            <w:vAlign w:val="center"/>
            <w:textDirection w:val="lrTb"/>
            <w:noWrap w:val="false"/>
          </w:tcPr>
          <w:p>
            <w:pPr>
              <w:pStyle w:val="748"/>
              <w:jc w:val="center"/>
              <w:rPr>
                <w:rFonts w:ascii="Times New Roman" w:hAnsi="Times New Roman"/>
                <w:sz w:val="24"/>
                <w:szCs w:val="24"/>
              </w:rPr>
            </w:pPr>
            <w:r>
              <w:rPr>
                <w:rFonts w:ascii="Times New Roman" w:hAnsi="Times New Roman"/>
                <w:sz w:val="24"/>
                <w:szCs w:val="24"/>
              </w:rPr>
              <w:t xml:space="preserve">шт.</w:t>
            </w:r>
            <w:r/>
          </w:p>
        </w:tc>
        <w:tc>
          <w:tcPr>
            <w:shd w:val="clear" w:color="000000" w:fill="ffffff"/>
            <w:tcBorders>
              <w:top w:val="none" w:color="000000" w:sz="4" w:space="0"/>
              <w:left w:val="none" w:color="000000" w:sz="4" w:space="0"/>
              <w:bottom w:val="single" w:color="auto" w:sz="4" w:space="0"/>
              <w:right w:val="single" w:color="auto" w:sz="4" w:space="0"/>
            </w:tcBorders>
            <w:tcW w:w="2291" w:type="dxa"/>
            <w:vAlign w:val="center"/>
            <w:textDirection w:val="lrTb"/>
            <w:noWrap/>
          </w:tcPr>
          <w:p>
            <w:pPr>
              <w:pStyle w:val="748"/>
              <w:jc w:val="center"/>
              <w:rPr>
                <w:rFonts w:ascii="Times New Roman" w:hAnsi="Times New Roman"/>
                <w:sz w:val="24"/>
                <w:szCs w:val="24"/>
              </w:rPr>
            </w:pPr>
            <w:r>
              <w:rPr>
                <w:rFonts w:ascii="Times New Roman" w:hAnsi="Times New Roman"/>
                <w:sz w:val="24"/>
                <w:szCs w:val="24"/>
              </w:rPr>
              <w:t xml:space="preserve">1</w:t>
            </w:r>
            <w:r/>
          </w:p>
        </w:tc>
      </w:tr>
      <w:tr>
        <w:trPr>
          <w:trHeight w:val="624"/>
        </w:trPr>
        <w:tc>
          <w:tcPr>
            <w:shd w:val="clear" w:color="auto" w:fill="auto"/>
            <w:tcBorders>
              <w:top w:val="none" w:color="000000" w:sz="4" w:space="0"/>
              <w:left w:val="single" w:color="auto" w:sz="8" w:space="0"/>
              <w:bottom w:val="single" w:color="auto" w:sz="4" w:space="0"/>
              <w:right w:val="none" w:color="000000" w:sz="4" w:space="0"/>
            </w:tcBorders>
            <w:tcW w:w="5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none" w:color="000000" w:sz="4" w:space="0"/>
              <w:left w:val="single" w:color="auto" w:sz="4" w:space="0"/>
              <w:bottom w:val="single" w:color="auto" w:sz="4" w:space="0"/>
              <w:right w:val="single" w:color="auto" w:sz="4" w:space="0"/>
            </w:tcBorders>
            <w:tcW w:w="5103" w:type="dxa"/>
            <w:vAlign w:val="center"/>
            <w:textDirection w:val="lrTb"/>
            <w:noWrap w:val="false"/>
          </w:tcPr>
          <w:p>
            <w:pPr>
              <w:pStyle w:val="748"/>
              <w:rPr>
                <w:rFonts w:ascii="Times New Roman" w:hAnsi="Times New Roman"/>
                <w:sz w:val="24"/>
                <w:szCs w:val="24"/>
                <w:shd w:val="clear" w:color="auto" w:fill="f9f9f9"/>
              </w:rPr>
            </w:pPr>
            <w:r>
              <w:rPr>
                <w:rFonts w:ascii="Times New Roman" w:hAnsi="Times New Roman"/>
                <w:sz w:val="24"/>
                <w:szCs w:val="24"/>
              </w:rPr>
              <w:t xml:space="preserve">Перетворювач інтерфейсу </w:t>
            </w:r>
            <w:r>
              <w:rPr>
                <w:rFonts w:ascii="Times New Roman" w:hAnsi="Times New Roman"/>
                <w:sz w:val="24"/>
                <w:szCs w:val="24"/>
              </w:rPr>
              <w:t xml:space="preserve">Wiegand</w:t>
            </w:r>
            <w:r>
              <w:rPr>
                <w:rFonts w:ascii="Times New Roman" w:hAnsi="Times New Roman"/>
                <w:sz w:val="24"/>
                <w:szCs w:val="24"/>
              </w:rPr>
              <w:t xml:space="preserve"> в RS485</w:t>
            </w:r>
            <w:r/>
          </w:p>
          <w:p>
            <w:pPr>
              <w:pStyle w:val="748"/>
              <w:rPr>
                <w:rFonts w:ascii="Times New Roman" w:hAnsi="Times New Roman"/>
                <w:sz w:val="24"/>
                <w:szCs w:val="24"/>
              </w:rPr>
            </w:pPr>
            <w:r>
              <w:rPr>
                <w:rFonts w:ascii="Times New Roman" w:hAnsi="Times New Roman"/>
                <w:sz w:val="24"/>
                <w:szCs w:val="24"/>
                <w:shd w:val="clear" w:color="auto" w:fill="f9f9f9"/>
              </w:rPr>
              <w:t xml:space="preserve">Інтерфейс зв'язку: Шина RS-485; Порт </w:t>
            </w:r>
            <w:r>
              <w:rPr>
                <w:rFonts w:ascii="Times New Roman" w:hAnsi="Times New Roman"/>
                <w:sz w:val="24"/>
                <w:szCs w:val="24"/>
                <w:shd w:val="clear" w:color="auto" w:fill="f9f9f9"/>
              </w:rPr>
              <w:t xml:space="preserve">Wiegand</w:t>
            </w:r>
            <w:r>
              <w:rPr>
                <w:rFonts w:ascii="Times New Roman" w:hAnsi="Times New Roman"/>
                <w:sz w:val="24"/>
                <w:szCs w:val="24"/>
                <w:shd w:val="clear" w:color="auto" w:fill="f9f9f9"/>
              </w:rPr>
              <w:t xml:space="preserve">; Стандарти </w:t>
            </w:r>
            <w:r>
              <w:rPr>
                <w:rFonts w:ascii="Times New Roman" w:hAnsi="Times New Roman"/>
                <w:sz w:val="24"/>
                <w:szCs w:val="24"/>
                <w:shd w:val="clear" w:color="auto" w:fill="f9f9f9"/>
              </w:rPr>
              <w:t xml:space="preserve">Wiegand</w:t>
            </w:r>
            <w:r>
              <w:rPr>
                <w:rFonts w:ascii="Times New Roman" w:hAnsi="Times New Roman"/>
                <w:sz w:val="24"/>
                <w:szCs w:val="24"/>
                <w:shd w:val="clear" w:color="auto" w:fill="f9f9f9"/>
              </w:rPr>
              <w:t xml:space="preserve"> 26 - 42 біта; Режими передачі клавіатурних кодів: пакетний, звичайний </w:t>
            </w:r>
            <w:r>
              <w:rPr>
                <w:rFonts w:ascii="Times New Roman" w:hAnsi="Times New Roman"/>
                <w:sz w:val="24"/>
                <w:szCs w:val="24"/>
                <w:shd w:val="clear" w:color="auto" w:fill="f9f9f9"/>
              </w:rPr>
              <w:t xml:space="preserve">посимвольного</w:t>
            </w:r>
            <w:r>
              <w:rPr>
                <w:rFonts w:ascii="Times New Roman" w:hAnsi="Times New Roman"/>
                <w:sz w:val="24"/>
                <w:szCs w:val="24"/>
                <w:shd w:val="clear" w:color="auto" w:fill="f9f9f9"/>
              </w:rPr>
              <w:t xml:space="preserve">, </w:t>
            </w:r>
            <w:r>
              <w:rPr>
                <w:rFonts w:ascii="Times New Roman" w:hAnsi="Times New Roman"/>
                <w:sz w:val="24"/>
                <w:szCs w:val="24"/>
                <w:shd w:val="clear" w:color="auto" w:fill="f9f9f9"/>
              </w:rPr>
              <w:t xml:space="preserve">посимвольного</w:t>
            </w:r>
            <w:r>
              <w:rPr>
                <w:rFonts w:ascii="Times New Roman" w:hAnsi="Times New Roman"/>
                <w:sz w:val="24"/>
                <w:szCs w:val="24"/>
                <w:shd w:val="clear" w:color="auto" w:fill="f9f9f9"/>
              </w:rPr>
              <w:t xml:space="preserve"> набір DORADO; Конфігурація - </w:t>
            </w:r>
            <w:r>
              <w:rPr>
                <w:rFonts w:ascii="Times New Roman" w:hAnsi="Times New Roman"/>
                <w:sz w:val="24"/>
                <w:szCs w:val="24"/>
                <w:shd w:val="clear" w:color="auto" w:fill="f9f9f9"/>
              </w:rPr>
              <w:t xml:space="preserve">Автом</w:t>
            </w:r>
            <w:r>
              <w:rPr>
                <w:rFonts w:ascii="Times New Roman" w:hAnsi="Times New Roman"/>
                <w:sz w:val="24"/>
                <w:szCs w:val="24"/>
                <w:shd w:val="clear" w:color="auto" w:fill="f9f9f9"/>
              </w:rPr>
              <w:t xml:space="preserve"> через U-</w:t>
            </w:r>
            <w:r>
              <w:rPr>
                <w:rFonts w:ascii="Times New Roman" w:hAnsi="Times New Roman"/>
                <w:sz w:val="24"/>
                <w:szCs w:val="24"/>
                <w:shd w:val="clear" w:color="auto" w:fill="f9f9f9"/>
              </w:rPr>
              <w:t xml:space="preserve">Prox</w:t>
            </w:r>
            <w:r>
              <w:rPr>
                <w:rFonts w:ascii="Times New Roman" w:hAnsi="Times New Roman"/>
                <w:sz w:val="24"/>
                <w:szCs w:val="24"/>
                <w:shd w:val="clear" w:color="auto" w:fill="f9f9f9"/>
              </w:rPr>
              <w:t xml:space="preserve"> IC E</w:t>
            </w:r>
            <w:r/>
          </w:p>
        </w:tc>
        <w:tc>
          <w:tcPr>
            <w:shd w:val="clear" w:color="auto" w:fill="auto"/>
            <w:tcBorders>
              <w:top w:val="none" w:color="000000" w:sz="4" w:space="0"/>
              <w:left w:val="none" w:color="000000" w:sz="4" w:space="0"/>
              <w:bottom w:val="single" w:color="auto" w:sz="4" w:space="0"/>
              <w:right w:val="single" w:color="auto" w:sz="4" w:space="0"/>
            </w:tcBorders>
            <w:tcW w:w="1819" w:type="dxa"/>
            <w:vAlign w:val="center"/>
            <w:textDirection w:val="lrTb"/>
            <w:noWrap w:val="false"/>
          </w:tcPr>
          <w:p>
            <w:pPr>
              <w:pStyle w:val="748"/>
              <w:jc w:val="center"/>
              <w:rPr>
                <w:rFonts w:ascii="Times New Roman" w:hAnsi="Times New Roman"/>
                <w:sz w:val="24"/>
                <w:szCs w:val="24"/>
              </w:rPr>
            </w:pPr>
            <w:r>
              <w:rPr>
                <w:rFonts w:ascii="Times New Roman" w:hAnsi="Times New Roman"/>
                <w:sz w:val="24"/>
                <w:szCs w:val="24"/>
              </w:rPr>
              <w:t xml:space="preserve">шт.</w:t>
            </w:r>
            <w:r/>
          </w:p>
        </w:tc>
        <w:tc>
          <w:tcPr>
            <w:shd w:val="clear" w:color="000000" w:fill="ffffff"/>
            <w:tcBorders>
              <w:top w:val="none" w:color="000000" w:sz="4" w:space="0"/>
              <w:left w:val="none" w:color="000000" w:sz="4" w:space="0"/>
              <w:bottom w:val="single" w:color="auto" w:sz="4" w:space="0"/>
              <w:right w:val="single" w:color="auto" w:sz="4" w:space="0"/>
            </w:tcBorders>
            <w:tcW w:w="2291" w:type="dxa"/>
            <w:vAlign w:val="center"/>
            <w:textDirection w:val="lrTb"/>
            <w:noWrap/>
          </w:tcPr>
          <w:p>
            <w:pPr>
              <w:pStyle w:val="748"/>
              <w:jc w:val="center"/>
              <w:rPr>
                <w:rFonts w:ascii="Times New Roman" w:hAnsi="Times New Roman"/>
                <w:sz w:val="24"/>
                <w:szCs w:val="24"/>
              </w:rPr>
            </w:pPr>
            <w:r>
              <w:rPr>
                <w:rFonts w:ascii="Times New Roman" w:hAnsi="Times New Roman"/>
                <w:sz w:val="24"/>
                <w:szCs w:val="24"/>
              </w:rPr>
              <w:t xml:space="preserve">1</w:t>
            </w:r>
            <w:r/>
          </w:p>
        </w:tc>
      </w:tr>
      <w:tr>
        <w:trPr>
          <w:trHeight w:val="312"/>
        </w:trPr>
        <w:tc>
          <w:tcPr>
            <w:shd w:val="clear" w:color="auto" w:fill="auto"/>
            <w:tcBorders>
              <w:top w:val="none" w:color="000000" w:sz="4" w:space="0"/>
              <w:left w:val="single" w:color="auto" w:sz="8" w:space="0"/>
              <w:bottom w:val="single" w:color="auto" w:sz="4" w:space="0"/>
              <w:right w:val="none" w:color="000000" w:sz="4" w:space="0"/>
            </w:tcBorders>
            <w:tcW w:w="5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none" w:color="000000" w:sz="4" w:space="0"/>
              <w:left w:val="single" w:color="auto" w:sz="4" w:space="0"/>
              <w:bottom w:val="single" w:color="auto" w:sz="4" w:space="0"/>
              <w:right w:val="single" w:color="auto" w:sz="4" w:space="0"/>
            </w:tcBorders>
            <w:tcW w:w="5103" w:type="dxa"/>
            <w:vAlign w:val="center"/>
            <w:textDirection w:val="lrTb"/>
            <w:noWrap w:val="false"/>
          </w:tcPr>
          <w:p>
            <w:pPr>
              <w:pStyle w:val="748"/>
              <w:rPr>
                <w:rFonts w:ascii="Times New Roman" w:hAnsi="Times New Roman"/>
                <w:sz w:val="24"/>
                <w:szCs w:val="24"/>
              </w:rPr>
            </w:pPr>
            <w:r>
              <w:rPr>
                <w:rFonts w:ascii="Times New Roman" w:hAnsi="Times New Roman"/>
                <w:sz w:val="24"/>
                <w:szCs w:val="24"/>
              </w:rPr>
              <w:t xml:space="preserve">Монтажний набір</w:t>
            </w:r>
            <w:r/>
          </w:p>
        </w:tc>
        <w:tc>
          <w:tcPr>
            <w:shd w:val="clear" w:color="auto" w:fill="auto"/>
            <w:tcBorders>
              <w:top w:val="none" w:color="000000" w:sz="4" w:space="0"/>
              <w:left w:val="none" w:color="000000" w:sz="4" w:space="0"/>
              <w:bottom w:val="single" w:color="auto" w:sz="4" w:space="0"/>
              <w:right w:val="single" w:color="auto" w:sz="4" w:space="0"/>
            </w:tcBorders>
            <w:tcW w:w="1819" w:type="dxa"/>
            <w:vAlign w:val="center"/>
            <w:textDirection w:val="lrTb"/>
            <w:noWrap w:val="false"/>
          </w:tcPr>
          <w:p>
            <w:pPr>
              <w:pStyle w:val="748"/>
              <w:jc w:val="center"/>
              <w:rPr>
                <w:rFonts w:ascii="Times New Roman" w:hAnsi="Times New Roman"/>
                <w:sz w:val="24"/>
                <w:szCs w:val="24"/>
              </w:rPr>
            </w:pPr>
            <w:r>
              <w:rPr>
                <w:rFonts w:ascii="Times New Roman" w:hAnsi="Times New Roman"/>
                <w:sz w:val="24"/>
                <w:szCs w:val="24"/>
              </w:rPr>
              <w:t xml:space="preserve">шт.</w:t>
            </w:r>
            <w:r/>
          </w:p>
        </w:tc>
        <w:tc>
          <w:tcPr>
            <w:shd w:val="clear" w:color="000000" w:fill="ffffff"/>
            <w:tcBorders>
              <w:top w:val="none" w:color="000000" w:sz="4" w:space="0"/>
              <w:left w:val="none" w:color="000000" w:sz="4" w:space="0"/>
              <w:bottom w:val="single" w:color="auto" w:sz="4" w:space="0"/>
              <w:right w:val="single" w:color="auto" w:sz="4" w:space="0"/>
            </w:tcBorders>
            <w:tcW w:w="2291" w:type="dxa"/>
            <w:vAlign w:val="center"/>
            <w:textDirection w:val="lrTb"/>
            <w:noWrap/>
          </w:tcPr>
          <w:p>
            <w:pPr>
              <w:pStyle w:val="748"/>
              <w:jc w:val="center"/>
              <w:rPr>
                <w:rFonts w:ascii="Times New Roman" w:hAnsi="Times New Roman"/>
                <w:sz w:val="24"/>
                <w:szCs w:val="24"/>
              </w:rPr>
            </w:pPr>
            <w:r>
              <w:rPr>
                <w:rFonts w:ascii="Times New Roman" w:hAnsi="Times New Roman"/>
                <w:sz w:val="24"/>
                <w:szCs w:val="24"/>
              </w:rPr>
              <w:t xml:space="preserve">1</w:t>
            </w:r>
            <w:r/>
          </w:p>
        </w:tc>
      </w:tr>
    </w:tbl>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pStyle w:val="732"/>
        <w:ind w:left="0" w:firstLine="567"/>
        <w:jc w:val="both"/>
        <w:spacing w:after="0" w:line="240" w:lineRule="auto"/>
        <w:rPr>
          <w:rStyle w:val="758"/>
          <w:b/>
          <w:bCs/>
          <w:i/>
          <w:iCs/>
          <w:sz w:val="24"/>
          <w:szCs w:val="24"/>
          <w:lang w:val="uk-UA"/>
        </w:rPr>
      </w:pPr>
      <w:r>
        <w:rPr>
          <w:rFonts w:ascii="Times New Roman" w:hAnsi="Times New Roman" w:cs="Times New Roman"/>
          <w:bCs/>
          <w:sz w:val="24"/>
          <w:szCs w:val="24"/>
          <w:lang w:val="uk-UA"/>
        </w:rPr>
        <w:t xml:space="preserve">В</w:t>
      </w:r>
      <w:r>
        <w:rPr>
          <w:rFonts w:ascii="Times New Roman" w:hAnsi="Times New Roman" w:cs="Times New Roman"/>
          <w:bCs/>
          <w:sz w:val="24"/>
          <w:szCs w:val="24"/>
        </w:rPr>
        <w:t xml:space="preserve">становлення</w:t>
      </w:r>
      <w:r>
        <w:rPr>
          <w:rFonts w:ascii="Times New Roman" w:hAnsi="Times New Roman" w:cs="Times New Roman"/>
          <w:bCs/>
          <w:sz w:val="24"/>
          <w:szCs w:val="24"/>
        </w:rPr>
        <w:t xml:space="preserve"> </w:t>
      </w:r>
      <w:r>
        <w:rPr>
          <w:rFonts w:ascii="Times New Roman" w:hAnsi="Times New Roman" w:cs="Times New Roman"/>
          <w:bCs/>
          <w:sz w:val="24"/>
          <w:szCs w:val="24"/>
        </w:rPr>
        <w:t xml:space="preserve">системи</w:t>
      </w:r>
      <w:r>
        <w:rPr>
          <w:rFonts w:ascii="Times New Roman" w:hAnsi="Times New Roman" w:cs="Times New Roman"/>
          <w:bCs/>
          <w:sz w:val="24"/>
          <w:szCs w:val="24"/>
        </w:rPr>
        <w:t xml:space="preserve"> контролю доступу в </w:t>
      </w:r>
      <w:r>
        <w:rPr>
          <w:rFonts w:ascii="Times New Roman" w:hAnsi="Times New Roman" w:cs="Times New Roman"/>
          <w:bCs/>
          <w:sz w:val="24"/>
          <w:szCs w:val="24"/>
        </w:rPr>
        <w:t xml:space="preserve">ліфт</w:t>
      </w:r>
      <w:r>
        <w:rPr>
          <w:rFonts w:ascii="Times New Roman" w:hAnsi="Times New Roman" w:cs="Times New Roman"/>
          <w:bCs/>
          <w:sz w:val="24"/>
          <w:szCs w:val="24"/>
        </w:rPr>
        <w:t xml:space="preserve"> </w:t>
      </w:r>
      <w:r>
        <w:rPr>
          <w:rFonts w:ascii="Times New Roman" w:hAnsi="Times New Roman" w:cs="Times New Roman"/>
          <w:bCs/>
          <w:sz w:val="24"/>
          <w:szCs w:val="24"/>
        </w:rPr>
        <w:t xml:space="preserve">електричний</w:t>
      </w:r>
      <w:r>
        <w:rPr>
          <w:rFonts w:ascii="Times New Roman" w:hAnsi="Times New Roman" w:cs="Times New Roman"/>
          <w:bCs/>
          <w:sz w:val="24"/>
          <w:szCs w:val="24"/>
        </w:rPr>
        <w:t xml:space="preserve"> </w:t>
      </w:r>
      <w:r>
        <w:rPr>
          <w:rFonts w:ascii="Times New Roman" w:hAnsi="Times New Roman" w:cs="Times New Roman"/>
          <w:bCs/>
          <w:sz w:val="24"/>
          <w:szCs w:val="24"/>
        </w:rPr>
        <w:t xml:space="preserve">пасажирський</w:t>
      </w:r>
      <w:r>
        <w:rPr>
          <w:rFonts w:ascii="Times New Roman" w:hAnsi="Times New Roman" w:cs="Times New Roman"/>
          <w:bCs/>
          <w:sz w:val="24"/>
          <w:szCs w:val="24"/>
        </w:rPr>
        <w:t xml:space="preserve"> (зав. № 2023/0287, MRL/SNL 2000 630, </w:t>
      </w:r>
      <w:r>
        <w:rPr>
          <w:rFonts w:ascii="Times New Roman" w:hAnsi="Times New Roman" w:cs="Times New Roman"/>
          <w:bCs/>
          <w:sz w:val="24"/>
          <w:szCs w:val="24"/>
        </w:rPr>
        <w:t xml:space="preserve">виготовлений</w:t>
      </w:r>
      <w:r>
        <w:rPr>
          <w:rFonts w:ascii="Times New Roman" w:hAnsi="Times New Roman" w:cs="Times New Roman"/>
          <w:bCs/>
          <w:sz w:val="24"/>
          <w:szCs w:val="24"/>
        </w:rPr>
        <w:t xml:space="preserve"> 03.05.2023)</w:t>
      </w:r>
      <w:r>
        <w:rPr>
          <w:rFonts w:ascii="Times New Roman" w:hAnsi="Times New Roman" w:cs="Times New Roman"/>
          <w:bCs/>
          <w:sz w:val="24"/>
          <w:szCs w:val="24"/>
          <w:lang w:val="uk-UA"/>
        </w:rPr>
        <w:t xml:space="preserve">. Комплект системи контролю доступу повинен бути повністю сумісний з існуючою системою контролю доступу. </w:t>
      </w:r>
      <w:r>
        <w:rPr>
          <w:rStyle w:val="758"/>
          <w:b/>
          <w:bCs/>
          <w:i/>
          <w:iCs/>
          <w:sz w:val="24"/>
          <w:szCs w:val="24"/>
        </w:rPr>
        <w:t xml:space="preserve">(</w:t>
      </w:r>
      <w:r>
        <w:rPr>
          <w:rStyle w:val="758"/>
          <w:b/>
          <w:bCs/>
          <w:i/>
          <w:iCs/>
          <w:sz w:val="24"/>
          <w:szCs w:val="24"/>
        </w:rPr>
        <w:t xml:space="preserve">надати</w:t>
      </w:r>
      <w:r>
        <w:rPr>
          <w:rStyle w:val="758"/>
          <w:b/>
          <w:bCs/>
          <w:i/>
          <w:iCs/>
          <w:sz w:val="24"/>
          <w:szCs w:val="24"/>
        </w:rPr>
        <w:t xml:space="preserve"> </w:t>
      </w:r>
      <w:r>
        <w:rPr>
          <w:rStyle w:val="758"/>
          <w:b/>
          <w:bCs/>
          <w:i/>
          <w:iCs/>
          <w:sz w:val="24"/>
          <w:szCs w:val="24"/>
        </w:rPr>
        <w:t xml:space="preserve">гарантійний</w:t>
      </w:r>
      <w:r>
        <w:rPr>
          <w:rStyle w:val="758"/>
          <w:b/>
          <w:bCs/>
          <w:i/>
          <w:iCs/>
          <w:sz w:val="24"/>
          <w:szCs w:val="24"/>
        </w:rPr>
        <w:t xml:space="preserve"> лист)</w:t>
      </w:r>
      <w:r>
        <w:rPr>
          <w:rStyle w:val="758"/>
          <w:b/>
          <w:bCs/>
          <w:i/>
          <w:iCs/>
          <w:sz w:val="24"/>
          <w:szCs w:val="24"/>
          <w:lang w:val="uk-UA"/>
        </w:rPr>
        <w:t xml:space="preserve">. </w:t>
      </w:r>
      <w:r/>
    </w:p>
    <w:p>
      <w:pPr>
        <w:pStyle w:val="732"/>
        <w:ind w:left="0" w:firstLine="567"/>
        <w:jc w:val="both"/>
        <w:spacing w:after="0" w:line="240" w:lineRule="auto"/>
        <w:rPr>
          <w:rStyle w:val="758"/>
          <w:sz w:val="24"/>
          <w:szCs w:val="24"/>
          <w:lang w:val="uk-UA"/>
        </w:rPr>
      </w:pPr>
      <w:r>
        <w:rPr>
          <w:sz w:val="24"/>
          <w:szCs w:val="24"/>
          <w:lang w:val="uk-UA"/>
        </w:rPr>
      </w:r>
      <w:r/>
    </w:p>
    <w:p>
      <w:pPr>
        <w:pStyle w:val="732"/>
        <w:ind w:left="0" w:firstLine="567"/>
        <w:jc w:val="both"/>
        <w:spacing w:after="0" w:line="240" w:lineRule="auto"/>
        <w:rPr>
          <w:rStyle w:val="758"/>
          <w:i/>
          <w:iCs/>
          <w:sz w:val="24"/>
          <w:szCs w:val="24"/>
          <w:lang w:val="uk-UA"/>
        </w:rPr>
      </w:pPr>
      <w:r>
        <w:rPr>
          <w:rStyle w:val="758"/>
          <w:i/>
          <w:iCs/>
          <w:sz w:val="24"/>
          <w:szCs w:val="24"/>
          <w:lang w:val="uk-UA"/>
        </w:rPr>
        <w:t xml:space="preserve">У разі необхідності потенційний Учасник за домовленістю із Замовником може відвідати об’єкт Замовника та провести необхідні обстеження для коректного підбору обладнання та економії бюджетних коштів.</w:t>
      </w:r>
      <w:r/>
    </w:p>
    <w:p>
      <w:pPr>
        <w:pStyle w:val="732"/>
        <w:ind w:left="0" w:firstLine="567"/>
        <w:jc w:val="both"/>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shd w:val="clear" w:color="auto" w:fill="ffffff"/>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Еквівалент Товару – вживається у значенні, як рівнозначний товар, що виражається в наявності однозначних співвідношень між технічними та якісними характеристиками до </w:t>
      </w:r>
      <w:r>
        <w:rPr>
          <w:rFonts w:ascii="Times New Roman" w:hAnsi="Times New Roman" w:cs="Times New Roman"/>
          <w:color w:val="000000"/>
          <w:spacing w:val="-4"/>
          <w:sz w:val="24"/>
          <w:szCs w:val="24"/>
        </w:rPr>
        <w:t xml:space="preserve">предмету закупівлі, що ви</w:t>
      </w:r>
      <w:r>
        <w:rPr>
          <w:rFonts w:ascii="Times New Roman" w:hAnsi="Times New Roman" w:cs="Times New Roman"/>
          <w:color w:val="000000"/>
          <w:spacing w:val="-4"/>
          <w:sz w:val="24"/>
          <w:szCs w:val="24"/>
        </w:rPr>
        <w:t xml:space="preserve">значені згідно вимог цього технічного завдання, або якісно перевищують відповідні вимоги. У разі поставки еквівалентного товару, товар повинен бути з технічними та якісними характеристиками рівноцінними, або покращеними, ніж визначені технічним завданням. </w:t>
      </w:r>
      <w:r>
        <w:rPr>
          <w:rFonts w:ascii="Times New Roman" w:hAnsi="Times New Roman" w:cs="Times New Roman"/>
          <w:color w:val="000000" w:themeColor="text1"/>
          <w:spacing w:val="-4"/>
          <w:sz w:val="24"/>
          <w:szCs w:val="24"/>
        </w:rPr>
        <w:t xml:space="preserve">Товар, представлений Учасником, має відповідати діючим в Україні державним стандартам якості, відповідності або затвердженим в установленому порядку технічним умовам.</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Транспортування Товару та розвантаження на склад Замовника здійснюється за рахунок Учасника.</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має бути поставлений в упаковці (тарі), що забезпечує захист Товару від його пошкодження або псування під час транспортування і зберігання.</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В комплекті поставки повинні бути усі необхідні для роботи обладнання кабелі, шнури, тощо.</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повинен бути новим, таким, що не був раніше у використанні.</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pacing w:val="-4"/>
          <w:sz w:val="24"/>
          <w:szCs w:val="24"/>
        </w:rPr>
        <w:t xml:space="preserve">Гарантійний строк на Т</w:t>
      </w:r>
      <w:r>
        <w:rPr>
          <w:rFonts w:ascii="Times New Roman" w:hAnsi="Times New Roman" w:eastAsia="Calibri" w:cs="Times New Roman"/>
          <w:spacing w:val="-4"/>
          <w:sz w:val="24"/>
          <w:szCs w:val="24"/>
        </w:rPr>
        <w:t xml:space="preserve">овар становить не менше 12 місяців з дати приймання Товару замовником. Умовою гарантійного обслуговування є, зокрема, експлуатація Товару згідно з правилами експлуатації відповідно до технічної документацією виробника, що мають надаватися разом із Товаром.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31 341,92</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тридцять одна тисяча триста сорок одна гривня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92</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162</cp:revision>
  <dcterms:created xsi:type="dcterms:W3CDTF">2022-11-01T12:47:00Z</dcterms:created>
  <dcterms:modified xsi:type="dcterms:W3CDTF">2024-06-06T10:35:20Z</dcterms:modified>
</cp:coreProperties>
</file>