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Сікевича,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72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  <w:u w:val="single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Закупівля вентиляційної системи з кондиціонуванням та опаленням із встановленням за ДК 021:2015: 42520000-7 «Вентиляційне обладнання»</w:t>
      </w:r>
      <w:r>
        <w:rPr>
          <w:color w:val="000000"/>
          <w:sz w:val="24"/>
          <w:szCs w:val="24"/>
        </w:rPr>
        <w:t xml:space="preserve">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21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</w:t>
      </w:r>
      <w:r>
        <w:rPr>
          <w:rFonts w:ascii="Times New Roman" w:hAnsi="Times New Roman" w:cs="Times New Roman"/>
          <w:sz w:val="24"/>
          <w:szCs w:val="24"/>
        </w:rPr>
        <w:t xml:space="preserve">5830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характеристик предмета закупівлі:  </w:t>
      </w:r>
      <w:r>
        <w:rPr>
          <w:rFonts w:ascii="Times New Roman" w:hAnsi="Times New Roman" w:cs="Times New Roman"/>
          <w:sz w:val="24"/>
          <w:szCs w:val="24"/>
        </w:rPr>
        <w:t xml:space="preserve">Закупівля вентиляційної системи з кондиціонуванням та опаленням із встановленням</w:t>
      </w:r>
      <w:r/>
    </w:p>
    <w:p>
      <w:r/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678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Style w:val="680"/>
              <w:jc w:val="center"/>
              <w:rPr>
                <w:rFonts w:eastAsia="Times New Roman"/>
                <w:b/>
                <w:bCs/>
                <w:lang w:val="ru-RU"/>
              </w:rPr>
            </w:pPr>
            <w:r>
              <w:rPr>
                <w:rFonts w:eastAsia="Times New Roman"/>
                <w:b/>
                <w:bCs/>
              </w:rPr>
              <w:t xml:space="preserve">№ 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8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Назва системи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8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Одиниця виміру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8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Кількість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68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80"/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Вентиляційна система з кондиціонуванням та опаленням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8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1</w:t>
            </w:r>
            <w:r/>
          </w:p>
        </w:tc>
      </w:tr>
    </w:tbl>
    <w:p>
      <w:pPr>
        <w:pStyle w:val="680"/>
        <w:jc w:val="both"/>
        <w:spacing w:after="0" w:line="240" w:lineRule="auto"/>
        <w:rPr>
          <w:rFonts w:eastAsia="Times New Roman"/>
          <w:b/>
          <w:bCs/>
          <w:i/>
          <w:iCs/>
          <w:lang w:eastAsia="ru-RU"/>
        </w:rPr>
      </w:pPr>
      <w:r>
        <w:rPr>
          <w:rFonts w:eastAsia="Times New Roman"/>
          <w:b/>
          <w:bCs/>
          <w:i/>
          <w:iCs/>
          <w:lang w:eastAsia="ru-RU"/>
        </w:rPr>
      </w:r>
      <w:r/>
    </w:p>
    <w:p>
      <w:pPr>
        <w:pStyle w:val="680"/>
        <w:jc w:val="both"/>
        <w:spacing w:after="0" w:line="240" w:lineRule="auto"/>
        <w:rPr>
          <w:rFonts w:eastAsia="Times New Roman"/>
          <w:b/>
          <w:bCs/>
          <w:i/>
          <w:iCs/>
          <w:lang w:eastAsia="ru-RU"/>
        </w:rPr>
      </w:pPr>
      <w:r>
        <w:rPr>
          <w:rFonts w:eastAsia="Times New Roman"/>
          <w:b/>
          <w:bCs/>
          <w:i/>
          <w:iCs/>
          <w:lang w:eastAsia="ru-RU"/>
        </w:rPr>
        <w:t xml:space="preserve">У ціну мають бути включені прямі, загальновиробничі та адміністративні витрати з урахуванням витрат, у тому числі, але не виключно: транспортні витрати, доплати п</w:t>
      </w:r>
      <w:r>
        <w:rPr>
          <w:rFonts w:eastAsia="Times New Roman"/>
          <w:b/>
          <w:bCs/>
          <w:i/>
          <w:iCs/>
          <w:lang w:eastAsia="ru-RU"/>
        </w:rPr>
        <w:t xml:space="preserve">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ризиків та/або додаткових витрат, пов’язаних з інфляційними</w:t>
      </w:r>
      <w:r>
        <w:rPr>
          <w:rFonts w:eastAsia="Times New Roman"/>
          <w:b/>
          <w:bCs/>
          <w:i/>
          <w:iCs/>
          <w:lang w:eastAsia="ru-RU"/>
        </w:rPr>
        <w:t xml:space="preserve">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проєкту Договору до моменту його повного завершення; </w:t>
      </w:r>
      <w:r>
        <w:rPr>
          <w:rFonts w:eastAsia="Times New Roman"/>
          <w:b/>
          <w:bCs/>
          <w:i/>
          <w:iCs/>
          <w:lang w:eastAsia="uk-UA"/>
        </w:rPr>
        <w:t xml:space="preserve">монтаж, пусконалагоджування (введення в експлуатацію) Товару.</w:t>
      </w:r>
      <w:r/>
    </w:p>
    <w:p>
      <w:pPr>
        <w:pStyle w:val="680"/>
        <w:ind w:firstLine="567"/>
        <w:jc w:val="both"/>
        <w:spacing w:after="0" w:line="240" w:lineRule="auto"/>
        <w:rPr>
          <w:rFonts w:eastAsia="Times New Roman"/>
          <w:color w:val="000000" w:themeColor="text1"/>
          <w:shd w:val="clear" w:color="auto" w:fill="ffffff"/>
        </w:rPr>
      </w:pPr>
      <w:r/>
      <w:bookmarkStart w:id="0" w:name="_Hlk131598067"/>
      <w:r>
        <w:rPr>
          <w:rFonts w:eastAsia="Times New Roman"/>
          <w:color w:val="000000" w:themeColor="text1"/>
          <w:shd w:val="clear" w:color="auto" w:fill="ffffff"/>
          <w:lang w:eastAsia="uk-UA"/>
        </w:rPr>
        <w:t xml:space="preserve">1. Товар повинен постачатись новим в упаковці та з маркуванням виробника, а також повинна бути в наявності технічна документація, яка входить до комплекту постачання фірми-виробника.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 У разі постачання неякісного Товару, Постачальник забезпечує заміну неякісного Товару якісним за власний рахунок при пред’явлені Покупцем не пізніше 7 робочих днів після отримання Товару.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3. Наявність заявлених Покупцем недоліків та причини їх виникнення повинно встановлюватись актом обстеження технічного стану Товару, який обов’язково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укладається між Сторонами і є підставою для усунення Постачальником недоліків Товару у термін, що узгоджується за домовленістю Сторін. Акт обстеження технічного стану складається сервісним (технічним) центром Постачальника за участю представника Покупця.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Клапани вогнезатримуючі повинні бути сертифіковані в Україні (надати сканкопії оригіналів сертифікатів (паспортів)).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Виконання постачання повинно здійснюватися у відповідно до діючих нормативно-правових документів та умов цього проєкту Договору.</w:t>
      </w:r>
      <w:bookmarkEnd w:id="0"/>
      <w:r/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bookmarkStart w:id="1" w:name="_Hlk131682113"/>
      <w:r>
        <w:rPr>
          <w:rFonts w:ascii="Times New Roman" w:hAnsi="Times New Roman" w:cs="Times New Roman"/>
          <w:sz w:val="24"/>
          <w:szCs w:val="24"/>
        </w:rPr>
        <w:t xml:space="preserve">Учаснику необхідно у складі тендерної пропозиції надати гарантійний лист від виробника, партнера, дилера чи офіційного представни</w:t>
      </w:r>
      <w:r>
        <w:rPr>
          <w:rFonts w:ascii="Times New Roman" w:hAnsi="Times New Roman" w:cs="Times New Roman"/>
          <w:sz w:val="24"/>
          <w:szCs w:val="24"/>
        </w:rPr>
        <w:t xml:space="preserve">ка, де вказати можливість постачання Товару в строки зазначені Замовником. Учаснику необхідно надати лист на підтвердження того, що він є авторизованим представником заводу-виробника обладнання, та може здійснювати монтаж та пусконаладку даного обладнання.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Учаснику передбачити монтажні та пусконалагоджувальні послуги у складі поданої пропозиції. Для системи кондиціювання К4,5 передбачити під’єднання існуючих кондиціонерів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ARNU</w:t>
      </w:r>
      <w:r>
        <w:rPr>
          <w:rFonts w:ascii="Times New Roman" w:hAnsi="Times New Roman" w:cs="Times New Roman"/>
          <w:sz w:val="24"/>
          <w:szCs w:val="24"/>
        </w:rPr>
        <w:t xml:space="preserve">09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GL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G</w:t>
      </w:r>
      <w:r>
        <w:rPr>
          <w:rFonts w:ascii="Times New Roman" w:hAnsi="Times New Roman" w:cs="Times New Roman"/>
          <w:sz w:val="24"/>
          <w:szCs w:val="24"/>
        </w:rPr>
        <w:t xml:space="preserve">4. Систему кондиціювання К3 </w:t>
      </w:r>
      <w:r>
        <w:rPr>
          <w:rFonts w:ascii="Times New Roman" w:hAnsi="Times New Roman" w:cs="Times New Roman"/>
          <w:sz w:val="24"/>
          <w:szCs w:val="24"/>
        </w:rPr>
        <w:t xml:space="preserve">передбачити 3-трубну з системою рекуперації. В системах К6,7,8 передбачити низькотемпературний комплект на роботу зовнішнього блоку в режимі на охолодження при зовнішній температурі до -25⁰С. В інших системах передбачити роботу в режимі опалення при -25⁰С.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Систему кондиціювання під’єднати до існуючого блоку диспетчеризації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PACS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</w:t>
      </w:r>
      <w:r>
        <w:rPr>
          <w:rFonts w:ascii="Times New Roman" w:hAnsi="Times New Roman" w:cs="Times New Roman"/>
          <w:sz w:val="24"/>
          <w:szCs w:val="24"/>
        </w:rPr>
        <w:t xml:space="preserve">000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Систему вентиляції передбачити з рекуперацією тепла, та роботою системи до -22⁰С. систему автоматики вентиляції передбачити на контролерах з можливістю диспетчеризації (протокол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modbus</w:t>
      </w:r>
      <w:r>
        <w:rPr>
          <w:rFonts w:ascii="Times New Roman" w:hAnsi="Times New Roman" w:cs="Times New Roman"/>
          <w:sz w:val="24"/>
          <w:szCs w:val="24"/>
        </w:rPr>
        <w:t xml:space="preserve">).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Електроприводи вогнезатримуючих клапанів передбачити 220В зі зворотньою пружиною.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Конвектори системи опалення передбачити настінного виконання.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Всі необхідні витратні матеріали, що необхідні для встановлення обладнання та витра</w:t>
      </w:r>
      <w:r>
        <w:rPr>
          <w:rFonts w:ascii="Times New Roman" w:hAnsi="Times New Roman" w:cs="Times New Roman"/>
          <w:sz w:val="24"/>
          <w:szCs w:val="24"/>
        </w:rPr>
        <w:t xml:space="preserve">ти на них, Учаснику необхідно передбачити та внести в ціну тендерної пропозиції. А також передбачити підйомні механізми для подачі обладнання на покрівлю, подачу вентобладнання в приміщення венткамери на горище, передбачити механізми (або послуги альпініст</w:t>
      </w:r>
      <w:r>
        <w:rPr>
          <w:rFonts w:ascii="Times New Roman" w:hAnsi="Times New Roman" w:cs="Times New Roman"/>
          <w:sz w:val="24"/>
          <w:szCs w:val="24"/>
        </w:rPr>
        <w:t xml:space="preserve">а) для монтажу мідних трубопроводів у шахті. Передбачити виготовлення та монтаж рам під зовнішні блоки системи кондиціювання. За необхідності Учасник може за домовленістю із Замовником відвідати та оглянути об’єкт Замовника де необхідно встановити системи.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Надати у складі пропозиції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копію чинної ліцензії </w:t>
      </w:r>
      <w:r>
        <w:rPr>
          <w:rFonts w:ascii="Times New Roman" w:hAnsi="Times New Roman" w:cs="Times New Roman"/>
          <w:sz w:val="24"/>
          <w:szCs w:val="24"/>
        </w:rPr>
        <w:t xml:space="preserve">або документа дозвільного характеру (у разі їх наявності) на провадження певного виду господарської діяльності, якщо отримання дозволу або</w:t>
      </w:r>
      <w:r>
        <w:rPr>
          <w:rFonts w:ascii="Times New Roman" w:hAnsi="Times New Roman" w:cs="Times New Roman"/>
          <w:sz w:val="24"/>
          <w:szCs w:val="24"/>
        </w:rPr>
        <w:t xml:space="preserve"> ліцензії на провадження такого виду діяльності передбачено законом (на послуги з монтажу, пусконалагоджування систем вентиляції, кондиціювання, автоматики та виконання робіт протипожежного призначення, а саме – клапанів з нормованою межею вогнестійкості).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76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СПЕЦИФІКАЦІЯ СИСТЕМ:</w:t>
      </w:r>
      <w:r/>
    </w:p>
    <w:p>
      <w:pPr>
        <w:pStyle w:val="676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tbl>
      <w:tblPr>
        <w:tblW w:w="9671" w:type="dxa"/>
        <w:tblLook w:val="04A0" w:firstRow="1" w:lastRow="0" w:firstColumn="1" w:lastColumn="0" w:noHBand="0" w:noVBand="1"/>
      </w:tblPr>
      <w:tblGrid>
        <w:gridCol w:w="715"/>
        <w:gridCol w:w="6567"/>
        <w:gridCol w:w="1129"/>
        <w:gridCol w:w="1260"/>
      </w:tblGrid>
      <w:tr>
        <w:trPr>
          <w:trHeight w:val="46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ОБЛАДНАННЯ ВЕНТИЛЯЦІЯ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 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 </w:t>
            </w:r>
            <w:r/>
          </w:p>
        </w:tc>
      </w:tr>
      <w:tr>
        <w:trPr>
          <w:trHeight w:val="38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Система ПВ1 у складі: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сист.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624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Припливно-витяжна установка Aerostar  DSV (4600м3/год;550Па)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автоматики ПВ1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Труба гофрована d16/10,7мм ДКС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395,00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4х1,5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4х2,5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4х4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2х2х0,8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126,00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1х2х0,8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4х2х0,8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5х1,5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Лоток перф. 100х50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Лоток/відвід перф. 100х50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Кришка лотка 100х50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Хомут нейлоновий, L=200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Скоба для підвішуванния гофри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121,00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Кронштейн для лотка металевого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Дифузор прямокутний 600х600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Пленум-бокс для дифузора 600х600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Клапан повітряний, діам.200мм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Клапан повітряний, діам.315мм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Різьбова шпилька М8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Різьбова шпилька М10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Саморіз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208,00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Болт М8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Гайка М8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123,00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Шайба М8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Дюбель М8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Дюбель М10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Болт М10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Гайка М10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Шайба М10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Тримач стіновий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Піна вогнетривка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1,00</w:t>
            </w:r>
            <w:r/>
          </w:p>
        </w:tc>
      </w:tr>
      <w:tr>
        <w:trPr>
          <w:trHeight w:val="31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Система ПВ2 у складі: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сист.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624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Припливно-витяжна установка Aerostar  DSV (4400м3/год;300Па)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автоматики ПВ2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Труба гофрована d16/10,7мм ДКС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396,00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4х1,5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4х2,5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4х4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2х2х0,8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126,00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1х2х0,8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4х2х0,8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5х1,5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Лоток перф. 100х50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Лоток/відвід перф. 100х50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Кришка лотка 100х50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Хомут нейлоновий, L=200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Скоба для підвішуванния гофри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133,00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Кронштейн для лотка металевого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Клапан повітряний, діам.315мм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Різьбова шпилька М8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Різьбова шпилька М10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Саморіз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208,00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Болт М8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Гайка М8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123,00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Шайба М8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Дюбель М8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Дюбель М10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Болт М10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Гайка М10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Шайба М10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Тримач стіновий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Піна вогнетривка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1,00</w:t>
            </w:r>
            <w:r/>
          </w:p>
        </w:tc>
      </w:tr>
      <w:tr>
        <w:trPr>
          <w:trHeight w:val="31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Система ПВ3 у складі: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сист.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624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Припливно-витяжна установка Aerostar  DSV (1800м3/год;250Па)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автоматики ПВ3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Труба гофрована d16/10,7мм ДКС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396,00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4х1,5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4х2,5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4х4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2х2х0,8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126,00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1х2х0,8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4х2х0,8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5х1,5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Лоток перф. 100х50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Лоток/відвід перф. 100х50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Кришка лотка 100х50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Хомут нейлоновий, L=200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Скоба для підвішуванния гофри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133,00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Кронштейн для лотка металевого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Дифузор прямокутний 450х450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Дифузор круглий d160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Клапан повітряний, діам.250мм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Різьбова шпилька М8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Різьбова шпилька М10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Саморіз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208,00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Болт М8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Гайка М8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123,00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Шайба М8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Дюбель М8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Дюбель М10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Болт М10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Гайка М10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Шайба М10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Тримач стіновий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Піна вогнетривка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1,00</w:t>
            </w:r>
            <w:r/>
          </w:p>
        </w:tc>
      </w:tr>
      <w:tr>
        <w:trPr>
          <w:trHeight w:val="31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Система ПВ5 у складі: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сист.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624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Припливно-витяжна установка Aerostar  DSV (2200м3/год;250Па)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автоматики ПВ5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Труба гофрована d16/10,7мм ДКС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396,00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4х1,5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4х2,5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4х4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2х2х0,8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126,00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1х2х0,8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4х2х0,8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5х1,5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Лоток перф. 100х50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Лоток/відвід перф. 100х50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Кришка лотка 100х50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Хомут нейлоновий, L=200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Скоба для підвішуванния гофри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133,00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Кронштейн для лотка металевого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Дифузор прямокутний 450х450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Дифузор круглий d200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Клапан повітряний, діам.250мм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Різьбова шпилька М8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Різьбова шпилька М10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Саморіз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208,00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Болт М8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Гайка М8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123,00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Шайба М8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Дюбель М8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Дюбель М10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Болт М10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Гайка М10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Шайба М10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Тримач стіновий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Піна вогнетривка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1,00</w:t>
            </w:r>
            <w:r/>
          </w:p>
        </w:tc>
      </w:tr>
      <w:tr>
        <w:trPr>
          <w:trHeight w:val="31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Система ПВ6 у складі: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сист.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Припливно-витяжна установка Aerostar  DSV (200м3/год;150Па)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автоматики ПВ6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Труба гофрована d16/10,7мм ДКС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396,00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4х1,5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4х2,5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4х4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2х2х0,8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126,00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1х2х0,8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4х2х0,8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5х1,5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Лоток перф. 100х50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Лоток/відвід перф. 100х50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Кришка лотка 100х50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Хомут нейлоновий, L=200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Скоба для підвішуванния гофри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133,00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Кронштейн для лотка металевого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Дифузор прямокутний 450х450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Різьбова шпилька М8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Різьбова шпилька М10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Саморіз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208,00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Болт М8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Гайка М8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123,00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Шайба М8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Дюбель М8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Дюбель М10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Болт М10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Гайка М10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Шайба М10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Тримач стіновий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Піна вогнетривка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1,00</w:t>
            </w:r>
            <w:r/>
          </w:p>
        </w:tc>
      </w:tr>
      <w:tr>
        <w:trPr>
          <w:trHeight w:val="31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Система ПВ11 у складі: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сист.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Припливно-витяжна установка Aerostar  DSV (200м3/год;150Па)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автоматики ПВ11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Труба гофрована d16/10,7мм ДКС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396,00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4х1,5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4х2,5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4х4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2х2х0,8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126,00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1х2х0,8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4х2х0,8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5х1,5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Лоток перф. 100х50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Лоток/відвід перф. 100х50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Кришка лотка 100х50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Хомут нейлоновий, L=200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Скоба для підвішуванния гофри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133,00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Кронштейн для лотка металевого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Дифузор прямокутний 450х450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Різьбова шпилька М8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Різьбова шпилька М10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Саморіз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208,00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Болт М8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Гайка М8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123,00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Шайба М8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Дюбель М8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Дюбель М10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Болт М10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Гайка М10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Шайба М10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Тримач стіновий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Піна вогнетривка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1,00</w:t>
            </w:r>
            <w:r/>
          </w:p>
        </w:tc>
      </w:tr>
      <w:tr>
        <w:trPr>
          <w:trHeight w:val="31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Система ПВ7 у складі: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сист.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Припливно-витяжна установка Aerostar  DSV (200м3/год;150Па)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автоматики ПВ7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Труба гофрована d16/10,7мм ДКС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396,00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4х1,5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4х2,5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4х4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2х2х0,8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126,00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1х2х0,8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4х2х0,8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5х1,5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Лоток перф. 100х50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Лоток/відвід перф. 100х50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Кришка лотка 100х50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Хомут нейлоновий, L=200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Скоба для підвішуванния гофри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133,00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Кронштейн для лотка металевого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Різьбова шпилька М8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Різьбова шпилька М10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Саморіз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208,00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Болт М8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Гайка М8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123,00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Шайба М8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Дюбель М8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Дюбель М10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Болт М10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Гайка М10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Шайба М10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Тримач стіновий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Піна вогнетривка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1,00</w:t>
            </w:r>
            <w:r/>
          </w:p>
        </w:tc>
      </w:tr>
      <w:tr>
        <w:trPr>
          <w:trHeight w:val="31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Система ПВ8 у складі: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сист.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624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Припливно-витяжна установка Aerostar  DSV (2000м3/год;350Па)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автоматики ПВ8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1,00</w:t>
            </w:r>
            <w:r/>
          </w:p>
        </w:tc>
      </w:tr>
      <w:tr>
        <w:trPr>
          <w:trHeight w:val="624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Клапан вогнезатримуючий з ел.пр. Belimo 230, перерізом, 350x500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Труба гофрована d16/10,7мм ДКС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396,00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4х1,5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4х2,5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4х4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2х2х0,8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126,00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1х2х0,8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4х2х0,8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5х1,5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Лоток перф. 100х50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Лоток/відвід перф. 100х50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Кришка лотка 100х50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Хомут нейлоновий, L=200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Скоба для підвішуванния гофри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133,00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Кронштейн для лотка металевого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Дифузор прямокутний 600х600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Пленум-бокс для дифузора 600х600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Клапан повітряний, діам.200мм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Різьбова шпилька М8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Різьбова шпилька М10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Саморіз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208,00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Болт М8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Гайка М8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123,00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Шайба М8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Дюбель М8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Дюбель М10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Болт М10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Гайка М10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Шайба М10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Тримач стіновий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Піна вогнетривка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1,00</w:t>
            </w:r>
            <w:r/>
          </w:p>
        </w:tc>
      </w:tr>
      <w:tr>
        <w:trPr>
          <w:trHeight w:val="31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Система ПВ9 у складі: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сист.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624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Припливно-витяжна установка Aerostar  DSV (1800 м3/год; 350 Па)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автоматики ПВ9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1,00</w:t>
            </w:r>
            <w:r/>
          </w:p>
        </w:tc>
      </w:tr>
      <w:tr>
        <w:trPr>
          <w:trHeight w:val="624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Клапан вогнезатримуючий з ел.пр. Belimo 230, перерізом, 350x500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Труба гофрована d16/10,7мм ДКС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396,00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4х1,5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4х2,5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4х4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2х2х0,8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126,00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1х2х0,8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4х2х0,8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5х1,5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Лоток перф. 100х50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Лоток/відвід перф. 100х50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Кришка лотка 100х50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Хомут нейлоновий, L=200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Скоба для підвішуванния гофри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133,00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Кронштейн для лотка металевого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Дифузор прямокутний 600х600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Пленум-бокс для дифузора 600х600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Клапан повітряний, діам.200мм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Різьбова шпилька М8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Різьбова шпилька М10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Саморіз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208,00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Болт М8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Гайка М8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123,00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Шайба М8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Дюбель М8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Дюбель М10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Болт М10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Гайка М10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Шайба М10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Тримач стіновий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Піна вогнетривка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1,00</w:t>
            </w:r>
            <w:r/>
          </w:p>
        </w:tc>
      </w:tr>
      <w:tr>
        <w:trPr>
          <w:trHeight w:val="31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Система ПВ10 у складі: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сист.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624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Припливно-витяжна установка Aerostar  DSV (1800м3/год;350 Па)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автоматики ПВ10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1,00</w:t>
            </w:r>
            <w:r/>
          </w:p>
        </w:tc>
      </w:tr>
      <w:tr>
        <w:trPr>
          <w:trHeight w:val="624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Клапан вогнезатримуючий з ел.пр. Belimo 230, перерізом, 350x500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Труба гофрована d16/10,7мм ДКС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396,00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4х1,5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4х2,5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4х4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2х2х0,8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126,00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1х2х0,8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4х2х0,8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5х1,5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Лоток перф. 100х50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Лоток/відвід перф. 100х50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Кришка лотка 100х50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Хомут нейлоновий, L=200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Скоба для підвішуванния гофри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133,00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Кронштейн для лотка металевого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Дифузор прямокутний 600х600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Пленум-бокс для дифузора 600х600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Клапан повітряний, діам.200мм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Різьбова шпилька М8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Різьбова шпилька М10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Саморіз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208,00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Болт М8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Гайка М8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123,00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Шайба М8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Дюбель М8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Дюбель М10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Болт М10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Гайка М10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Шайба М10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Тримач стіновий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Піна вогнетривка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1,00</w:t>
            </w:r>
            <w:r/>
          </w:p>
        </w:tc>
      </w:tr>
      <w:tr>
        <w:trPr>
          <w:trHeight w:val="31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Система ПВ12 у складі: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сист.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Припливно-витяжна установка Aerostar  DSV (200м3/год;150Па)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автоматики ПВ12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Труба гофрована d16/10,7мм ДКС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396,00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4х1,5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4х2,5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4х4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2х2х0,8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126,00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1х2х0,8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4х2х0,8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5х1,5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Лоток перф. 100х50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Лоток/відвід перф. 100х50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Кришка лотка 100х50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Хомут нейлоновий, L=200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Скоба для підвішуванния гофри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133,00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Кронштейн для лотка металевого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Дифузор прямокутний 450х450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Різьбова шпилька М8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Різьбова шпилька М10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Саморіз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208,00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Болт М8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Гайка М8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123,00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Шайба М8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Дюбель М8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Дюбель М10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Болт М10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Гайка М10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Шайба М10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Тримач стіновий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Піна вогнетривка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1,00</w:t>
            </w:r>
            <w:r/>
          </w:p>
        </w:tc>
      </w:tr>
      <w:tr>
        <w:trPr>
          <w:trHeight w:val="31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Системи В1,2  у складі: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сист.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Вентилятор витяжний С-VENT 315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Дифузор круглий d160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Клапан повітряний, діам.160мм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3,00</w:t>
            </w:r>
            <w:r/>
          </w:p>
        </w:tc>
      </w:tr>
      <w:tr>
        <w:trPr>
          <w:trHeight w:val="31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Система В3с/у  у складі: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сист.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Вентилятор витяжний С-VENT 125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Дифузор круглий d160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Вставка гнучка d125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2,00</w:t>
            </w:r>
            <w:r/>
          </w:p>
        </w:tc>
      </w:tr>
      <w:tr>
        <w:trPr>
          <w:trHeight w:val="624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Клапан вогнезатримуючий з ел.пр. Belimo 230, перерізом, 150х150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Саморіз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Шумоглушник 125/600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Клапан зворотній 125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1,00</w:t>
            </w:r>
            <w:r/>
          </w:p>
        </w:tc>
      </w:tr>
      <w:tr>
        <w:trPr>
          <w:trHeight w:val="31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Система В4,5,6 Аварійна  у складі: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Вентилятор витяжний VRAN6-028 0,55кВтх3000об/хв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Шафа ВА1,2,3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4х1,5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Труба гофрована d16/10,7мм ДКС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Вставка гнучка d280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Клапан зворотній 280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Саморіз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Пульт керування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1,00</w:t>
            </w:r>
            <w:r/>
          </w:p>
        </w:tc>
      </w:tr>
      <w:tr>
        <w:trPr>
          <w:trHeight w:val="31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Клапани протипожежні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1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компл.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624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Клапан вогнезатримуючий з ел.пр. Belimo 230, перерізом, 150х150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Клапан вогнезатримуючий з ел.прив.Belimo 230, d200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2,00</w:t>
            </w:r>
            <w:r/>
          </w:p>
        </w:tc>
      </w:tr>
      <w:tr>
        <w:trPr>
          <w:trHeight w:val="324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Клапан вогнезатримуючий з ел.прив.Belimo 230, d150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4,00</w:t>
            </w:r>
            <w:r/>
          </w:p>
        </w:tc>
      </w:tr>
      <w:tr>
        <w:trPr>
          <w:trHeight w:val="360"/>
        </w:trPr>
        <w:tc>
          <w:tcPr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СИСТЕМИ КОНДИЦІЮВАННЯ</w:t>
            </w:r>
            <w:r/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 </w:t>
            </w:r>
            <w:r/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Система К6,7,8 Серверна  у складі: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сист.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Зовнішній блок Multi V 5 Qх=33,6 кВт ARUM120LTE5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6,00</w:t>
            </w:r>
            <w:r/>
          </w:p>
        </w:tc>
      </w:tr>
      <w:tr>
        <w:trPr>
          <w:trHeight w:val="624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Внутрішній блок касетного типу чотирьохпоточний Qх=15,8 кВт, Qт=18,0 кВт ARNU54GTMC4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Пульт керування провідний PREMTB100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управління группою блоків PZCWRCG3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зовнішнього сигналу PDRYCB400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Низькотемпературний комплект PRVC2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Декоративна панель PT-MCHW0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 ротації КРК1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розгалужувачів для внутрішніх блоків ARBLN03321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Трубка мідна, діам.9,52мм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Трубка мідна, діам.12,7мм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336,00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Трубка мідна, діам.15,88мм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Трубка мідна, діам.28,58мм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336,00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Трубний термоізолятор каучуковий 10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Трубний термоізолятор каучуковий 13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336,00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Трубний термоізолятор каучуковий 16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Трубний термоізолятор каучуковий 29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336,00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Муфта мідна 28,58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135,00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Відвід мідний 28,58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міжблочний 2х1,5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352,00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3х0,75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Скоба для підвішуванния кабелю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Припій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1,30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Азот для зварювання, балон 40л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Фреон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Кран кульовий мідний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Віброізолятор ББ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Фільтр-осушувач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Профіль 40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Різьбова шпилька М8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142,00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Болт М8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325,00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Гайка М8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675,00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Шайба М8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325,00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Дюбель М8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245,00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Перфострічка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Кутник для профіля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32,00</w:t>
            </w:r>
            <w:r/>
          </w:p>
        </w:tc>
      </w:tr>
      <w:tr>
        <w:trPr>
          <w:trHeight w:val="31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Система К3 1-й поверх  у складі: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сист.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Зовнішній блок Multi V 5 Qх=50,4 кВт ARUM180LTE5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1,00</w:t>
            </w:r>
            <w:r/>
          </w:p>
        </w:tc>
      </w:tr>
      <w:tr>
        <w:trPr>
          <w:trHeight w:val="624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Внутрішній блок касетного типу чотирьохпоточний Qх=14,1 кВт, Qт=15,9 кВт ARNU48GTMC4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3,00</w:t>
            </w:r>
            <w:r/>
          </w:p>
        </w:tc>
      </w:tr>
      <w:tr>
        <w:trPr>
          <w:trHeight w:val="624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Внутрішній блок канального типу середньонапірний Qх=7,1 кВт, Qт=8,0 кВт ARNU24GM1A4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 рекуперації теплоти PRHR043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Декоративна панель PT-MCHW0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Пульт керування провідний PREMTB100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Рама під зовнішній блок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Віброізолятор Вібро Фікс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Фільтр-осушувач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Дифузор прямокутний 600х600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Пленум-бокс для дифузора 600х600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Трубка мідна, діам.9,52мм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Трубка мідна, діам.15,88мм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207,00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Трубка мідна, діам.22,2мм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Трубка мідна, діам.28,58мм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Трубний термоізолятор каучуковий 10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Трубний термоізолятор каучуковий 16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207,00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Трубний термоізолятор каучуковий 22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Трубний термоізолятор каучуковий 29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Коліно мідне 90гр. ,d22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Муфта мідна 22,2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Муфта мідна 28,58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Відвід мідний 22,2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Відвід мідний 28,58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міжблочний 2х1,5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176,00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3х0,75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Скоба для підвішуванния кабелю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Припій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0,95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Азот для зварювання, балон 40л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Фреон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Кран кульовий мідний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Профіль 40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Різьбова шпилька М8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Болт М8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163,00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Гайка М8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338,00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Шайба М8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163,00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Дюбель М8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123,00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Перфострічка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Кутник для профіля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16,00</w:t>
            </w:r>
            <w:r/>
          </w:p>
        </w:tc>
      </w:tr>
      <w:tr>
        <w:trPr>
          <w:trHeight w:val="31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Система К4,5  3-й поверх  у складі: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сист.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Зовнішній блок Multi V 5 Qх=33,6 кВт ARUM120LTE5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Зовнішній блок Multi V 5 Qх=50,4 кВт ARUM180LTE5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1,00</w:t>
            </w:r>
            <w:r/>
          </w:p>
        </w:tc>
      </w:tr>
      <w:tr>
        <w:trPr>
          <w:trHeight w:val="624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Внутрішній блок касетного типу чотирьохпоточний Qх=14,1 кВт, Qт=15,9 кВт ARNU48GTMC4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1,00</w:t>
            </w:r>
            <w:r/>
          </w:p>
        </w:tc>
      </w:tr>
      <w:tr>
        <w:trPr>
          <w:trHeight w:val="624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Внутрішній блок касетного типу чотирьохпоточний Qх=15,8 кВт, Qт=18,0 кВт ARNU54GTMC4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2,00</w:t>
            </w:r>
            <w:r/>
          </w:p>
        </w:tc>
      </w:tr>
      <w:tr>
        <w:trPr>
          <w:trHeight w:val="624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Внутрішній блок канального типу низьконьонапірний Qх=2,8 кВт, Qт=3,2 кВт ARNU09GL1G4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Пульт керування провідний PREMTB100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Декоративна панель для блоків касетного типу PT-UMC1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Рама під зовнішній блок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Віброізолятор ББ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Віброізолятор Вібро Фікс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Фільтр-осушувач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розгалужувачів для внутрішніх блоків ARBLN03321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розгалужувачів для внутрішніх блоків ARBLN07121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розгалужувачів для внутрішніх блоків ARBLN01621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Дифузор прямокутний 600х600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Пленум-бокс для дифузора 600х600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Трубка мідна, діам.6,35мм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Трубка мідна, діам.9,52мм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Трубка мідна, діам.12,7мм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Трубка мідна, діам.15,88мм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207,00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Трубка мідна, діам.19,05мм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Трубка мідна, діам.22,2мм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Трубка мідна, діам.28,58мм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Трубний термоізолятор каучуковий 6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Трубний термоізолятор каучуковий 10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Трубний термоізолятор каучуковий 13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Трубний термоізолятор каучуковий 16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207,00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Трубний термоізолятор каучуковий 19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Трубний термоізолятор каучуковий 22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Трубний термоізолятор каучуковий 29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Коліно мідне 90гр. ,d19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Коліно мідне 90гр. ,d22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Муфта мідна 22,2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Муфта мідна 28,58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Відвід мідний 22,2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Відвід мідний 28,58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міжблочний 2х1,5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176,00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3х0,75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Скоба для підвішуванния кабелю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Припій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0,95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Азот для зварювання, балон 40л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Фреон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Кран кульовий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мідний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Профіль 40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Різьбова шпилька М8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Болт М8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163,00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Гайка М8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338,00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Шайба М8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163,00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Дюбель М8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123,00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Перфострічка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13,00</w:t>
            </w:r>
            <w:r/>
          </w:p>
        </w:tc>
      </w:tr>
      <w:tr>
        <w:trPr>
          <w:trHeight w:val="324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Кутник для профіля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16,00</w:t>
            </w:r>
            <w:r/>
          </w:p>
        </w:tc>
      </w:tr>
      <w:tr>
        <w:trPr>
          <w:trHeight w:val="360"/>
        </w:trPr>
        <w:tc>
          <w:tcPr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W w:w="71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СИСТЕМА ОПАЛЕННЯ у складі:</w:t>
            </w:r>
            <w:r/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сист.</w:t>
            </w:r>
            <w:r/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Конвектор ел. 1,0кВт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50,00</w:t>
            </w:r>
            <w:r/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Конвектор ел. 1,5кВт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38,00</w:t>
            </w:r>
            <w:r/>
          </w:p>
        </w:tc>
      </w:tr>
      <w:tr>
        <w:trPr>
          <w:trHeight w:val="32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Конвектор ел. 2,0кВт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12,00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 w:eastAsia="ru-RU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</w:t>
      </w:r>
      <w:r>
        <w:rPr>
          <w:rFonts w:ascii="Times New Roman" w:hAnsi="Times New Roman" w:cs="Times New Roman"/>
          <w:i/>
          <w:sz w:val="24"/>
          <w:szCs w:val="24"/>
        </w:rPr>
        <w:t xml:space="preserve">ги, умовні позначення та термінологію, пов’язані з товарами, роботами чи послугами, що закуповуються, передбачені існуючими міжнародними, європейськими стандартами, іншими спільними технічними європейськими нормами, іншими технічними еталонними системами, </w:t>
      </w:r>
      <w:r>
        <w:rPr>
          <w:rFonts w:ascii="Times New Roman" w:hAnsi="Times New Roman" w:cs="Times New Roman"/>
          <w:i/>
          <w:sz w:val="24"/>
          <w:szCs w:val="24"/>
        </w:rPr>
        <w:t xml:space="preserve">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ind w:right="-1"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23 921 007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двадцять три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дев’ятсот двадцять одна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тисяч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сім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очікуваної вартості предмета з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Цод = (Ц1 +… + Цк)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6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9"/>
  </w:num>
  <w:num w:numId="5">
    <w:abstractNumId w:val="2"/>
  </w:num>
  <w:num w:numId="6">
    <w:abstractNumId w:val="11"/>
  </w:num>
  <w:num w:numId="7">
    <w:abstractNumId w:val="5"/>
  </w:num>
  <w:num w:numId="8">
    <w:abstractNumId w:val="12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1"/>
    <w:next w:val="67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3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3"/>
    <w:link w:val="672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1"/>
    <w:next w:val="67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3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1"/>
    <w:next w:val="67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1"/>
    <w:next w:val="67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1"/>
    <w:next w:val="67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1"/>
    <w:next w:val="67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1"/>
    <w:next w:val="67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1"/>
    <w:next w:val="67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71"/>
    <w:next w:val="67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3"/>
    <w:link w:val="34"/>
    <w:uiPriority w:val="10"/>
    <w:rPr>
      <w:sz w:val="48"/>
      <w:szCs w:val="48"/>
    </w:rPr>
  </w:style>
  <w:style w:type="paragraph" w:styleId="36">
    <w:name w:val="Subtitle"/>
    <w:basedOn w:val="671"/>
    <w:next w:val="67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3"/>
    <w:link w:val="36"/>
    <w:uiPriority w:val="11"/>
    <w:rPr>
      <w:sz w:val="24"/>
      <w:szCs w:val="24"/>
    </w:rPr>
  </w:style>
  <w:style w:type="paragraph" w:styleId="38">
    <w:name w:val="Quote"/>
    <w:basedOn w:val="671"/>
    <w:next w:val="67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1"/>
    <w:next w:val="67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3"/>
    <w:link w:val="753"/>
    <w:uiPriority w:val="99"/>
  </w:style>
  <w:style w:type="character" w:styleId="45">
    <w:name w:val="Footer Char"/>
    <w:basedOn w:val="673"/>
    <w:link w:val="682"/>
    <w:uiPriority w:val="99"/>
  </w:style>
  <w:style w:type="paragraph" w:styleId="46">
    <w:name w:val="Caption"/>
    <w:basedOn w:val="671"/>
    <w:next w:val="6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2"/>
    <w:uiPriority w:val="99"/>
  </w:style>
  <w:style w:type="table" w:styleId="49">
    <w:name w:val="Table Grid Light"/>
    <w:basedOn w:val="6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3"/>
    <w:uiPriority w:val="99"/>
    <w:unhideWhenUsed/>
    <w:rPr>
      <w:vertAlign w:val="superscript"/>
    </w:rPr>
  </w:style>
  <w:style w:type="paragraph" w:styleId="178">
    <w:name w:val="endnote text"/>
    <w:basedOn w:val="67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3"/>
    <w:uiPriority w:val="99"/>
    <w:semiHidden/>
    <w:unhideWhenUsed/>
    <w:rPr>
      <w:vertAlign w:val="superscript"/>
    </w:rPr>
  </w:style>
  <w:style w:type="paragraph" w:styleId="181">
    <w:name w:val="toc 1"/>
    <w:basedOn w:val="671"/>
    <w:next w:val="67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1"/>
    <w:next w:val="67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1"/>
    <w:next w:val="67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1"/>
    <w:next w:val="67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1"/>
    <w:next w:val="67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1"/>
    <w:next w:val="67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1"/>
    <w:next w:val="67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1"/>
    <w:next w:val="67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1"/>
    <w:next w:val="67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1"/>
    <w:next w:val="671"/>
    <w:uiPriority w:val="99"/>
    <w:unhideWhenUsed/>
    <w:pPr>
      <w:spacing w:after="0" w:afterAutospacing="0"/>
    </w:pPr>
  </w:style>
  <w:style w:type="paragraph" w:styleId="671" w:default="1">
    <w:name w:val="Normal"/>
    <w:qFormat/>
    <w:rPr>
      <w:lang w:val="uk-UA"/>
    </w:rPr>
  </w:style>
  <w:style w:type="paragraph" w:styleId="672">
    <w:name w:val="Heading 2"/>
    <w:basedOn w:val="671"/>
    <w:link w:val="691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73" w:default="1">
    <w:name w:val="Default Paragraph Font"/>
    <w:uiPriority w:val="1"/>
    <w:semiHidden/>
    <w:unhideWhenUsed/>
  </w:style>
  <w:style w:type="table" w:styleId="6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5" w:default="1">
    <w:name w:val="No List"/>
    <w:uiPriority w:val="99"/>
    <w:semiHidden/>
    <w:unhideWhenUsed/>
  </w:style>
  <w:style w:type="paragraph" w:styleId="676">
    <w:name w:val="List Paragraph"/>
    <w:basedOn w:val="671"/>
    <w:link w:val="677"/>
    <w:uiPriority w:val="99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77" w:customStyle="1">
    <w:name w:val="Абзац списку Знак"/>
    <w:link w:val="676"/>
    <w:uiPriority w:val="99"/>
    <w:rPr>
      <w:rFonts w:ascii="Calibri" w:hAnsi="Calibri" w:eastAsia="Calibri" w:cs="Calibri"/>
      <w:lang w:eastAsia="zh-CN"/>
    </w:rPr>
  </w:style>
  <w:style w:type="table" w:styleId="678">
    <w:name w:val="Table Grid"/>
    <w:basedOn w:val="674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79" w:customStyle="1">
    <w:name w:val="Сетка таблицы2"/>
    <w:basedOn w:val="674"/>
    <w:next w:val="678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0">
    <w:name w:val="Normal (Web)"/>
    <w:basedOn w:val="671"/>
    <w:link w:val="687"/>
    <w:unhideWhenUsed/>
    <w:qFormat/>
    <w:rPr>
      <w:rFonts w:ascii="Times New Roman" w:hAnsi="Times New Roman" w:cs="Times New Roman"/>
      <w:sz w:val="24"/>
      <w:szCs w:val="24"/>
    </w:rPr>
  </w:style>
  <w:style w:type="table" w:styleId="681" w:customStyle="1">
    <w:name w:val="Сетка таблицы1"/>
    <w:basedOn w:val="674"/>
    <w:next w:val="678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2">
    <w:name w:val="Footer"/>
    <w:basedOn w:val="671"/>
    <w:link w:val="683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83" w:customStyle="1">
    <w:name w:val="Нижній колонтитул Знак"/>
    <w:basedOn w:val="673"/>
    <w:link w:val="682"/>
    <w:uiPriority w:val="99"/>
    <w:rPr>
      <w:rFonts w:ascii="Calibri" w:hAnsi="Calibri" w:eastAsia="Calibri" w:cs="Calibri"/>
      <w:lang w:eastAsia="zh-CN"/>
    </w:rPr>
  </w:style>
  <w:style w:type="paragraph" w:styleId="684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685">
    <w:name w:val="Hyperlink"/>
    <w:basedOn w:val="673"/>
    <w:uiPriority w:val="99"/>
    <w:unhideWhenUsed/>
    <w:rPr>
      <w:color w:val="0563c1" w:themeColor="hyperlink"/>
      <w:u w:val="single"/>
    </w:rPr>
  </w:style>
  <w:style w:type="character" w:styleId="686" w:customStyle="1">
    <w:name w:val="xfm_93972720"/>
    <w:basedOn w:val="673"/>
  </w:style>
  <w:style w:type="character" w:styleId="687" w:customStyle="1">
    <w:name w:val="Звичайний (веб) Знак"/>
    <w:link w:val="680"/>
    <w:qFormat/>
    <w:rPr>
      <w:rFonts w:ascii="Times New Roman" w:hAnsi="Times New Roman" w:cs="Times New Roman"/>
      <w:sz w:val="24"/>
      <w:szCs w:val="24"/>
      <w:lang w:val="uk-UA"/>
    </w:rPr>
  </w:style>
  <w:style w:type="paragraph" w:styleId="688">
    <w:name w:val="Body Text 2"/>
    <w:basedOn w:val="671"/>
    <w:link w:val="689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689" w:customStyle="1">
    <w:name w:val="Основний текст 2 Знак"/>
    <w:basedOn w:val="673"/>
    <w:link w:val="688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0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691" w:customStyle="1">
    <w:name w:val="Заголовок 2 Знак"/>
    <w:basedOn w:val="673"/>
    <w:link w:val="672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692">
    <w:name w:val="No Spacing"/>
    <w:link w:val="693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693" w:customStyle="1">
    <w:name w:val="Без інтервалів Знак"/>
    <w:basedOn w:val="673"/>
    <w:link w:val="692"/>
    <w:uiPriority w:val="1"/>
    <w:rPr>
      <w:rFonts w:ascii="Calibri" w:hAnsi="Calibri" w:eastAsia="Calibri" w:cs="Times New Roman"/>
      <w:lang w:val="uk-UA"/>
    </w:rPr>
  </w:style>
  <w:style w:type="character" w:styleId="694" w:customStyle="1">
    <w:name w:val="Другое_"/>
    <w:basedOn w:val="673"/>
    <w:link w:val="695"/>
    <w:rPr>
      <w:rFonts w:ascii="Calibri" w:hAnsi="Calibri" w:eastAsia="Calibri" w:cs="Calibri"/>
      <w:sz w:val="20"/>
      <w:szCs w:val="20"/>
    </w:rPr>
  </w:style>
  <w:style w:type="paragraph" w:styleId="695" w:customStyle="1">
    <w:name w:val="Другое"/>
    <w:basedOn w:val="671"/>
    <w:link w:val="694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character" w:styleId="696">
    <w:name w:val="FollowedHyperlink"/>
    <w:basedOn w:val="673"/>
    <w:uiPriority w:val="99"/>
    <w:semiHidden/>
    <w:unhideWhenUsed/>
    <w:rPr>
      <w:color w:val="954f72"/>
      <w:u w:val="single"/>
    </w:rPr>
  </w:style>
  <w:style w:type="character" w:styleId="697" w:customStyle="1">
    <w:name w:val="Текст примітки Знак"/>
    <w:basedOn w:val="673"/>
    <w:link w:val="701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98" w:customStyle="1">
    <w:name w:val="Верхній колонтитул Знак"/>
    <w:basedOn w:val="673"/>
    <w:link w:val="753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99" w:customStyle="1">
    <w:name w:val="Основний текст Знак"/>
    <w:basedOn w:val="673"/>
    <w:link w:val="747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00" w:customStyle="1">
    <w:name w:val="Основний текст з відступом Знак"/>
    <w:basedOn w:val="673"/>
    <w:link w:val="745"/>
    <w:semiHidden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701">
    <w:name w:val="annotation text"/>
    <w:basedOn w:val="671"/>
    <w:link w:val="697"/>
    <w:uiPriority w:val="99"/>
    <w:semiHidden/>
    <w:unhideWhenUsed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702" w:customStyle="1">
    <w:name w:val="Текст примітки Знак1"/>
    <w:basedOn w:val="673"/>
    <w:uiPriority w:val="99"/>
    <w:semiHidden/>
    <w:rPr>
      <w:sz w:val="20"/>
      <w:szCs w:val="20"/>
      <w:lang w:val="uk-UA"/>
    </w:rPr>
  </w:style>
  <w:style w:type="character" w:styleId="703" w:customStyle="1">
    <w:name w:val="Тема примітки Знак"/>
    <w:basedOn w:val="697"/>
    <w:link w:val="749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704" w:customStyle="1">
    <w:name w:val="Текст у виносці Знак"/>
    <w:basedOn w:val="673"/>
    <w:link w:val="751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05" w:customStyle="1">
    <w:name w:val="tbl-txt"/>
    <w:basedOn w:val="671"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706" w:customStyle="1">
    <w:name w:val="msonormal"/>
    <w:basedOn w:val="671"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707" w:customStyle="1">
    <w:name w:val="font5"/>
    <w:basedOn w:val="671"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sz w:val="24"/>
      <w:szCs w:val="24"/>
      <w:lang w:val="ru-RU" w:eastAsia="ru-RU"/>
    </w:rPr>
  </w:style>
  <w:style w:type="paragraph" w:styleId="708" w:customStyle="1">
    <w:name w:val="font6"/>
    <w:basedOn w:val="671"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709" w:customStyle="1">
    <w:name w:val="xl63"/>
    <w:basedOn w:val="671"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710" w:customStyle="1">
    <w:name w:val="xl64"/>
    <w:basedOn w:val="671"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711" w:customStyle="1">
    <w:name w:val="xl65"/>
    <w:basedOn w:val="671"/>
    <w:qFormat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712" w:customStyle="1">
    <w:name w:val="xl66"/>
    <w:basedOn w:val="671"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713" w:customStyle="1">
    <w:name w:val="xl67"/>
    <w:basedOn w:val="671"/>
    <w:qFormat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714" w:customStyle="1">
    <w:name w:val="xl68"/>
    <w:basedOn w:val="671"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715" w:customStyle="1">
    <w:name w:val="xl69"/>
    <w:basedOn w:val="671"/>
    <w:qFormat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716" w:customStyle="1">
    <w:name w:val="xl70"/>
    <w:basedOn w:val="671"/>
    <w:qFormat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sz w:val="24"/>
      <w:szCs w:val="24"/>
      <w:u w:val="single"/>
      <w:lang w:val="ru-RU" w:eastAsia="ru-RU"/>
    </w:rPr>
  </w:style>
  <w:style w:type="paragraph" w:styleId="717" w:customStyle="1">
    <w:name w:val="xl71"/>
    <w:basedOn w:val="671"/>
    <w:qFormat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</w:pBdr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718" w:customStyle="1">
    <w:name w:val="xl72"/>
    <w:basedOn w:val="671"/>
    <w:qFormat/>
    <w:pPr>
      <w:jc w:val="center"/>
      <w:spacing w:before="100" w:beforeAutospacing="1" w:after="100" w:afterAutospacing="1" w:line="240" w:lineRule="auto"/>
      <w:pBdr>
        <w:top w:val="single" w:color="auto" w:sz="4" w:space="0"/>
      </w:pBdr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719" w:customStyle="1">
    <w:name w:val="xl73"/>
    <w:basedOn w:val="671"/>
    <w:qFormat/>
    <w:pPr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720" w:customStyle="1">
    <w:name w:val="xl74"/>
    <w:basedOn w:val="671"/>
    <w:qFormat/>
    <w:pPr>
      <w:spacing w:before="100" w:beforeAutospacing="1" w:after="100" w:afterAutospacing="1" w:line="240" w:lineRule="auto"/>
      <w:pBdr>
        <w:left w:val="single" w:color="auto" w:sz="4" w:space="0"/>
        <w:bottom w:val="single" w:color="auto" w:sz="4" w:space="0"/>
      </w:pBdr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721" w:customStyle="1">
    <w:name w:val="xl75"/>
    <w:basedOn w:val="671"/>
    <w:qFormat/>
    <w:pPr>
      <w:jc w:val="center"/>
      <w:spacing w:before="100" w:beforeAutospacing="1" w:after="100" w:afterAutospacing="1" w:line="240" w:lineRule="auto"/>
      <w:pBdr>
        <w:bottom w:val="single" w:color="auto" w:sz="4" w:space="0"/>
      </w:pBdr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722" w:customStyle="1">
    <w:name w:val="xl76"/>
    <w:basedOn w:val="671"/>
    <w:qFormat/>
    <w:pPr>
      <w:spacing w:before="100" w:beforeAutospacing="1" w:after="100" w:afterAutospacing="1" w:line="240" w:lineRule="auto"/>
      <w:pBdr>
        <w:top w:val="single" w:color="auto" w:sz="4" w:space="0"/>
      </w:pBdr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723" w:customStyle="1">
    <w:name w:val="xl77"/>
    <w:basedOn w:val="671"/>
    <w:qFormat/>
    <w:pPr>
      <w:spacing w:before="100" w:beforeAutospacing="1" w:after="100" w:afterAutospacing="1" w:line="240" w:lineRule="auto"/>
      <w:pBdr>
        <w:bottom w:val="single" w:color="auto" w:sz="4" w:space="0"/>
      </w:pBdr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724" w:customStyle="1">
    <w:name w:val="xl78"/>
    <w:basedOn w:val="671"/>
    <w:qFormat/>
    <w:pPr>
      <w:spacing w:before="100" w:beforeAutospacing="1" w:after="100" w:afterAutospacing="1" w:line="240" w:lineRule="auto"/>
      <w:pBdr>
        <w:left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sz w:val="24"/>
      <w:szCs w:val="24"/>
      <w:u w:val="single"/>
      <w:lang w:val="ru-RU" w:eastAsia="ru-RU"/>
    </w:rPr>
  </w:style>
  <w:style w:type="paragraph" w:styleId="725" w:customStyle="1">
    <w:name w:val="xl79"/>
    <w:basedOn w:val="671"/>
    <w:qFormat/>
    <w:pPr>
      <w:jc w:val="center"/>
      <w:spacing w:before="100" w:beforeAutospacing="1" w:after="100" w:afterAutospacing="1" w:line="240" w:lineRule="auto"/>
      <w:pBdr>
        <w:left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sz w:val="24"/>
      <w:szCs w:val="24"/>
      <w:u w:val="single"/>
      <w:lang w:val="ru-RU" w:eastAsia="ru-RU"/>
    </w:rPr>
  </w:style>
  <w:style w:type="paragraph" w:styleId="726" w:customStyle="1">
    <w:name w:val="xl80"/>
    <w:basedOn w:val="671"/>
    <w:qFormat/>
    <w:pPr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val="ru-RU" w:eastAsia="ru-RU"/>
    </w:rPr>
  </w:style>
  <w:style w:type="paragraph" w:styleId="727" w:customStyle="1">
    <w:name w:val="xl81"/>
    <w:basedOn w:val="671"/>
    <w:qFormat/>
    <w:pPr>
      <w:jc w:val="center"/>
      <w:spacing w:before="100" w:beforeAutospacing="1" w:after="100" w:afterAutospacing="1" w:line="240" w:lineRule="auto"/>
      <w:pBdr>
        <w:top w:val="single" w:color="auto" w:sz="8" w:space="0"/>
        <w:left w:val="single" w:color="auto" w:sz="8" w:space="0"/>
        <w:bottom w:val="single" w:color="auto" w:sz="8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sz w:val="28"/>
      <w:szCs w:val="28"/>
      <w:lang w:val="ru-RU" w:eastAsia="ru-RU"/>
    </w:rPr>
  </w:style>
  <w:style w:type="paragraph" w:styleId="728" w:customStyle="1">
    <w:name w:val="xl82"/>
    <w:basedOn w:val="671"/>
    <w:qFormat/>
    <w:pPr>
      <w:spacing w:before="100" w:beforeAutospacing="1" w:after="100" w:afterAutospacing="1" w:line="240" w:lineRule="auto"/>
      <w:pBdr>
        <w:top w:val="single" w:color="auto" w:sz="8" w:space="0"/>
        <w:left w:val="single" w:color="auto" w:sz="4" w:space="0"/>
        <w:bottom w:val="single" w:color="auto" w:sz="8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sz w:val="28"/>
      <w:szCs w:val="28"/>
      <w:u w:val="single"/>
      <w:lang w:val="ru-RU" w:eastAsia="ru-RU"/>
    </w:rPr>
  </w:style>
  <w:style w:type="paragraph" w:styleId="729" w:customStyle="1">
    <w:name w:val="xl83"/>
    <w:basedOn w:val="671"/>
    <w:qFormat/>
    <w:pPr>
      <w:jc w:val="center"/>
      <w:spacing w:before="100" w:beforeAutospacing="1" w:after="100" w:afterAutospacing="1" w:line="240" w:lineRule="auto"/>
      <w:pBdr>
        <w:top w:val="single" w:color="auto" w:sz="8" w:space="0"/>
        <w:left w:val="single" w:color="auto" w:sz="4" w:space="0"/>
        <w:bottom w:val="single" w:color="auto" w:sz="8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sz w:val="28"/>
      <w:szCs w:val="28"/>
      <w:u w:val="single"/>
      <w:lang w:val="ru-RU" w:eastAsia="ru-RU"/>
    </w:rPr>
  </w:style>
  <w:style w:type="paragraph" w:styleId="730" w:customStyle="1">
    <w:name w:val="xl84"/>
    <w:basedOn w:val="671"/>
    <w:qFormat/>
    <w:pPr>
      <w:jc w:val="center"/>
      <w:spacing w:before="100" w:beforeAutospacing="1" w:after="100" w:afterAutospacing="1" w:line="240" w:lineRule="auto"/>
      <w:pBdr>
        <w:top w:val="single" w:color="auto" w:sz="8" w:space="0"/>
        <w:left w:val="single" w:color="auto" w:sz="8" w:space="0"/>
        <w:bottom w:val="single" w:color="auto" w:sz="8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sz w:val="28"/>
      <w:szCs w:val="28"/>
      <w:lang w:val="ru-RU" w:eastAsia="ru-RU"/>
    </w:rPr>
  </w:style>
  <w:style w:type="paragraph" w:styleId="731" w:customStyle="1">
    <w:name w:val="xl85"/>
    <w:basedOn w:val="671"/>
    <w:qFormat/>
    <w:pPr>
      <w:spacing w:before="100" w:beforeAutospacing="1" w:after="100" w:afterAutospacing="1" w:line="240" w:lineRule="auto"/>
      <w:pBdr>
        <w:top w:val="single" w:color="auto" w:sz="8" w:space="0"/>
        <w:left w:val="single" w:color="auto" w:sz="4" w:space="0"/>
        <w:bottom w:val="single" w:color="auto" w:sz="8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sz w:val="28"/>
      <w:szCs w:val="28"/>
      <w:u w:val="single"/>
      <w:lang w:val="ru-RU" w:eastAsia="ru-RU"/>
    </w:rPr>
  </w:style>
  <w:style w:type="paragraph" w:styleId="732" w:customStyle="1">
    <w:name w:val="xl86"/>
    <w:basedOn w:val="671"/>
    <w:qFormat/>
    <w:pPr>
      <w:jc w:val="center"/>
      <w:spacing w:before="100" w:beforeAutospacing="1" w:after="100" w:afterAutospacing="1" w:line="240" w:lineRule="auto"/>
      <w:pBdr>
        <w:top w:val="single" w:color="auto" w:sz="8" w:space="0"/>
        <w:left w:val="single" w:color="auto" w:sz="4" w:space="0"/>
        <w:bottom w:val="single" w:color="auto" w:sz="8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sz w:val="28"/>
      <w:szCs w:val="28"/>
      <w:u w:val="single"/>
      <w:lang w:val="ru-RU" w:eastAsia="ru-RU"/>
    </w:rPr>
  </w:style>
  <w:style w:type="paragraph" w:styleId="733" w:customStyle="1">
    <w:name w:val="xl87"/>
    <w:basedOn w:val="671"/>
    <w:qFormat/>
    <w:pPr>
      <w:spacing w:before="100" w:beforeAutospacing="1" w:after="100" w:afterAutospacing="1" w:line="240" w:lineRule="auto"/>
      <w:pBdr>
        <w:top w:val="single" w:color="auto" w:sz="8" w:space="0"/>
        <w:left w:val="single" w:color="auto" w:sz="4" w:space="0"/>
        <w:bottom w:val="single" w:color="auto" w:sz="8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sz w:val="28"/>
      <w:szCs w:val="28"/>
      <w:lang w:val="ru-RU" w:eastAsia="ru-RU"/>
    </w:rPr>
  </w:style>
  <w:style w:type="paragraph" w:styleId="734" w:customStyle="1">
    <w:name w:val="xl88"/>
    <w:basedOn w:val="671"/>
    <w:qFormat/>
    <w:pPr>
      <w:jc w:val="center"/>
      <w:spacing w:before="100" w:beforeAutospacing="1" w:after="100" w:afterAutospacing="1" w:line="240" w:lineRule="auto"/>
      <w:pBdr>
        <w:top w:val="single" w:color="auto" w:sz="8" w:space="0"/>
        <w:left w:val="single" w:color="auto" w:sz="8" w:space="0"/>
        <w:bottom w:val="single" w:color="auto" w:sz="8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sz w:val="28"/>
      <w:szCs w:val="28"/>
      <w:lang w:val="ru-RU" w:eastAsia="ru-RU"/>
    </w:rPr>
  </w:style>
  <w:style w:type="paragraph" w:styleId="735" w:customStyle="1">
    <w:name w:val="xl89"/>
    <w:basedOn w:val="671"/>
    <w:qFormat/>
    <w:pPr>
      <w:spacing w:before="100" w:beforeAutospacing="1" w:after="100" w:afterAutospacing="1" w:line="240" w:lineRule="auto"/>
      <w:pBdr>
        <w:top w:val="single" w:color="auto" w:sz="8" w:space="0"/>
        <w:left w:val="single" w:color="auto" w:sz="4" w:space="0"/>
        <w:bottom w:val="single" w:color="auto" w:sz="8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sz w:val="28"/>
      <w:szCs w:val="28"/>
      <w:lang w:val="ru-RU" w:eastAsia="ru-RU"/>
    </w:rPr>
  </w:style>
  <w:style w:type="paragraph" w:styleId="736" w:customStyle="1">
    <w:name w:val="xl90"/>
    <w:basedOn w:val="671"/>
    <w:qFormat/>
    <w:pPr>
      <w:jc w:val="center"/>
      <w:spacing w:before="100" w:beforeAutospacing="1" w:after="100" w:afterAutospacing="1" w:line="240" w:lineRule="auto"/>
      <w:pBdr>
        <w:top w:val="single" w:color="auto" w:sz="8" w:space="0"/>
        <w:left w:val="single" w:color="auto" w:sz="4" w:space="0"/>
        <w:bottom w:val="single" w:color="auto" w:sz="8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sz w:val="28"/>
      <w:szCs w:val="28"/>
      <w:lang w:val="ru-RU" w:eastAsia="ru-RU"/>
    </w:rPr>
  </w:style>
  <w:style w:type="paragraph" w:styleId="737" w:customStyle="1">
    <w:name w:val="xl91"/>
    <w:basedOn w:val="671"/>
    <w:qFormat/>
    <w:pPr>
      <w:jc w:val="center"/>
      <w:spacing w:before="100" w:beforeAutospacing="1" w:after="100" w:afterAutospacing="1" w:line="240" w:lineRule="auto"/>
      <w:pBdr>
        <w:top w:val="single" w:color="auto" w:sz="8" w:space="0"/>
        <w:left w:val="single" w:color="auto" w:sz="4" w:space="0"/>
        <w:bottom w:val="single" w:color="auto" w:sz="8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sz w:val="28"/>
      <w:szCs w:val="28"/>
      <w:lang w:val="ru-RU" w:eastAsia="ru-RU"/>
    </w:rPr>
  </w:style>
  <w:style w:type="paragraph" w:styleId="738" w:customStyle="1">
    <w:name w:val="xl92"/>
    <w:basedOn w:val="671"/>
    <w:qFormat/>
    <w:pPr>
      <w:jc w:val="center"/>
      <w:spacing w:before="100" w:beforeAutospacing="1" w:after="100" w:afterAutospacing="1" w:line="240" w:lineRule="auto"/>
      <w:pBdr>
        <w:left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val="ru-RU" w:eastAsia="ru-RU"/>
    </w:rPr>
  </w:style>
  <w:style w:type="paragraph" w:styleId="739" w:customStyle="1">
    <w:name w:val="xl93"/>
    <w:basedOn w:val="671"/>
    <w:qFormat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val="ru-RU" w:eastAsia="ru-RU"/>
    </w:rPr>
  </w:style>
  <w:style w:type="paragraph" w:styleId="740" w:customStyle="1">
    <w:name w:val="xl94"/>
    <w:basedOn w:val="671"/>
    <w:qFormat/>
    <w:pPr>
      <w:jc w:val="center"/>
      <w:spacing w:before="100" w:beforeAutospacing="1" w:after="100" w:afterAutospacing="1" w:line="240" w:lineRule="auto"/>
      <w:pBdr>
        <w:left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val="ru-RU" w:eastAsia="ru-RU"/>
    </w:rPr>
  </w:style>
  <w:style w:type="paragraph" w:styleId="741" w:customStyle="1">
    <w:name w:val="xl95"/>
    <w:basedOn w:val="671"/>
    <w:qFormat/>
    <w:pPr>
      <w:jc w:val="center"/>
      <w:spacing w:before="100" w:beforeAutospacing="1" w:after="100" w:afterAutospacing="1" w:line="240" w:lineRule="auto"/>
      <w:pBdr>
        <w:left w:val="single" w:color="auto" w:sz="8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val="ru-RU" w:eastAsia="ru-RU"/>
    </w:rPr>
  </w:style>
  <w:style w:type="paragraph" w:styleId="742" w:customStyle="1">
    <w:name w:val="xl96"/>
    <w:basedOn w:val="671"/>
    <w:qFormat/>
    <w:pPr>
      <w:jc w:val="center"/>
      <w:spacing w:before="100" w:beforeAutospacing="1" w:after="100" w:afterAutospacing="1" w:line="240" w:lineRule="auto"/>
      <w:pBdr>
        <w:left w:val="single" w:color="auto" w:sz="8" w:space="0"/>
      </w:pBdr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743" w:customStyle="1">
    <w:name w:val="xl97"/>
    <w:basedOn w:val="671"/>
    <w:qFormat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val="ru-RU" w:eastAsia="ru-RU"/>
    </w:rPr>
  </w:style>
  <w:style w:type="character" w:styleId="744">
    <w:name w:val="annotation reference"/>
    <w:basedOn w:val="673"/>
    <w:uiPriority w:val="99"/>
    <w:semiHidden/>
    <w:unhideWhenUsed/>
    <w:rPr>
      <w:sz w:val="16"/>
      <w:szCs w:val="16"/>
    </w:rPr>
  </w:style>
  <w:style w:type="paragraph" w:styleId="745">
    <w:name w:val="Body Text Indent"/>
    <w:basedOn w:val="671"/>
    <w:link w:val="700"/>
    <w:semiHidden/>
    <w:unhideWhenUsed/>
    <w:pPr>
      <w:ind w:firstLine="720"/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ru-RU" w:eastAsia="ru-RU"/>
    </w:rPr>
  </w:style>
  <w:style w:type="character" w:styleId="746" w:customStyle="1">
    <w:name w:val="Основний текст з відступом Знак1"/>
    <w:basedOn w:val="673"/>
    <w:semiHidden/>
    <w:rPr>
      <w:lang w:val="uk-UA"/>
    </w:rPr>
  </w:style>
  <w:style w:type="paragraph" w:styleId="747">
    <w:name w:val="Body Text"/>
    <w:basedOn w:val="671"/>
    <w:link w:val="699"/>
    <w:semiHidden/>
    <w:unhideWhenUsed/>
    <w:pPr>
      <w:spacing w:after="12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748" w:customStyle="1">
    <w:name w:val="Основний текст Знак1"/>
    <w:basedOn w:val="673"/>
    <w:semiHidden/>
    <w:rPr>
      <w:lang w:val="uk-UA"/>
    </w:rPr>
  </w:style>
  <w:style w:type="paragraph" w:styleId="749">
    <w:name w:val="annotation subject"/>
    <w:basedOn w:val="701"/>
    <w:next w:val="701"/>
    <w:link w:val="703"/>
    <w:uiPriority w:val="99"/>
    <w:semiHidden/>
    <w:unhideWhenUsed/>
    <w:rPr>
      <w:b/>
      <w:bCs/>
    </w:rPr>
  </w:style>
  <w:style w:type="character" w:styleId="750" w:customStyle="1">
    <w:name w:val="Тема примітки Знак1"/>
    <w:basedOn w:val="702"/>
    <w:uiPriority w:val="99"/>
    <w:semiHidden/>
    <w:rPr>
      <w:b/>
      <w:bCs/>
      <w:sz w:val="20"/>
      <w:szCs w:val="20"/>
      <w:lang w:val="uk-UA"/>
    </w:rPr>
  </w:style>
  <w:style w:type="paragraph" w:styleId="751">
    <w:name w:val="Balloon Text"/>
    <w:basedOn w:val="671"/>
    <w:link w:val="704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52" w:customStyle="1">
    <w:name w:val="Текст у виносці Знак1"/>
    <w:basedOn w:val="673"/>
    <w:uiPriority w:val="99"/>
    <w:semiHidden/>
    <w:rPr>
      <w:rFonts w:ascii="Segoe UI" w:hAnsi="Segoe UI" w:cs="Segoe UI"/>
      <w:sz w:val="18"/>
      <w:szCs w:val="18"/>
      <w:lang w:val="uk-UA"/>
    </w:rPr>
  </w:style>
  <w:style w:type="paragraph" w:styleId="753">
    <w:name w:val="Header"/>
    <w:basedOn w:val="671"/>
    <w:link w:val="698"/>
    <w:uiPriority w:val="99"/>
    <w:semiHidden/>
    <w:unhideWhenUsed/>
    <w:pPr>
      <w:spacing w:after="0" w:line="240" w:lineRule="auto"/>
      <w:widowControl w:val="off"/>
      <w:tabs>
        <w:tab w:val="center" w:pos="4819" w:leader="none"/>
        <w:tab w:val="right" w:pos="9639" w:leader="none"/>
      </w:tabs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754" w:customStyle="1">
    <w:name w:val="Верхній колонтитул Знак1"/>
    <w:basedOn w:val="673"/>
    <w:uiPriority w:val="99"/>
    <w:semiHidden/>
    <w:rPr>
      <w:lang w:val="uk-UA"/>
    </w:rPr>
  </w:style>
  <w:style w:type="character" w:styleId="755" w:customStyle="1">
    <w:name w:val="Нижній колонтитул Знак1"/>
    <w:basedOn w:val="673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56" w:customStyle="1">
    <w:name w:val="Неразрешенное упоминание1"/>
    <w:basedOn w:val="673"/>
    <w:uiPriority w:val="99"/>
    <w:semiHidden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ONLYOFFICE/7.3.3.49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69</cp:revision>
  <dcterms:created xsi:type="dcterms:W3CDTF">2022-11-01T12:47:00Z</dcterms:created>
  <dcterms:modified xsi:type="dcterms:W3CDTF">2023-04-27T07:11:04Z</dcterms:modified>
</cp:coreProperties>
</file>