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5FEB081" w:rsidR="00F90C90" w:rsidRPr="0085591A" w:rsidRDefault="00245020" w:rsidP="0085591A">
      <w:pPr>
        <w:jc w:val="both"/>
        <w:rPr>
          <w:rFonts w:ascii="Times New Roman" w:hAnsi="Times New Roman" w:cs="Times New Roman"/>
          <w:b/>
          <w:bCs/>
          <w:sz w:val="24"/>
          <w:szCs w:val="24"/>
        </w:rPr>
      </w:pPr>
      <w:r w:rsidRPr="0085591A">
        <w:rPr>
          <w:rFonts w:ascii="Times New Roman" w:hAnsi="Times New Roman" w:cs="Times New Roman"/>
          <w:b/>
          <w:bCs/>
          <w:sz w:val="24"/>
          <w:szCs w:val="24"/>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85591A">
        <w:rPr>
          <w:rFonts w:ascii="Times New Roman" w:hAnsi="Times New Roman" w:cs="Times New Roman"/>
          <w:b/>
          <w:bCs/>
          <w:sz w:val="24"/>
          <w:szCs w:val="24"/>
          <w:bdr w:val="none" w:sz="0" w:space="0" w:color="auto" w:frame="1"/>
        </w:rPr>
        <w:t xml:space="preserve"> </w:t>
      </w:r>
      <w:r w:rsidR="0085591A" w:rsidRPr="0085591A">
        <w:rPr>
          <w:rFonts w:ascii="Times New Roman" w:hAnsi="Times New Roman" w:cs="Times New Roman"/>
          <w:sz w:val="24"/>
          <w:szCs w:val="24"/>
        </w:rPr>
        <w:t>Закупівля конусів дорожніх за кодом ДК 021:2015</w:t>
      </w:r>
      <w:r w:rsidR="0085591A" w:rsidRPr="0085591A">
        <w:rPr>
          <w:rFonts w:ascii="Times New Roman" w:hAnsi="Times New Roman" w:cs="Times New Roman"/>
          <w:sz w:val="24"/>
          <w:szCs w:val="24"/>
        </w:rPr>
        <w:t xml:space="preserve"> </w:t>
      </w:r>
      <w:r w:rsidR="0085591A" w:rsidRPr="0085591A">
        <w:rPr>
          <w:rFonts w:ascii="Times New Roman" w:hAnsi="Times New Roman" w:cs="Times New Roman"/>
          <w:sz w:val="24"/>
          <w:szCs w:val="24"/>
        </w:rPr>
        <w:t>34920000-2 Дорожнє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44DCA5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85591A">
        <w:rPr>
          <w:rFonts w:ascii="Times New Roman" w:hAnsi="Times New Roman" w:cs="Times New Roman"/>
          <w:sz w:val="24"/>
          <w:szCs w:val="24"/>
        </w:rPr>
        <w:t>9</w:t>
      </w:r>
      <w:r w:rsidR="001944C8">
        <w:rPr>
          <w:rFonts w:ascii="Times New Roman" w:hAnsi="Times New Roman" w:cs="Times New Roman"/>
          <w:sz w:val="24"/>
          <w:szCs w:val="24"/>
        </w:rPr>
        <w:t>-</w:t>
      </w:r>
      <w:r w:rsidR="0085591A">
        <w:rPr>
          <w:rFonts w:ascii="Times New Roman" w:hAnsi="Times New Roman" w:cs="Times New Roman"/>
          <w:sz w:val="24"/>
          <w:szCs w:val="24"/>
        </w:rPr>
        <w:t>25</w:t>
      </w:r>
      <w:r w:rsidR="00F60A0F" w:rsidRPr="00F90C90">
        <w:rPr>
          <w:rFonts w:ascii="Times New Roman" w:hAnsi="Times New Roman" w:cs="Times New Roman"/>
          <w:sz w:val="24"/>
          <w:szCs w:val="24"/>
        </w:rPr>
        <w:t>-</w:t>
      </w:r>
      <w:r w:rsidR="002F7B4B">
        <w:rPr>
          <w:rFonts w:ascii="Times New Roman" w:hAnsi="Times New Roman" w:cs="Times New Roman"/>
          <w:sz w:val="24"/>
          <w:szCs w:val="24"/>
        </w:rPr>
        <w:t>00</w:t>
      </w:r>
      <w:r w:rsidR="0085591A">
        <w:rPr>
          <w:rFonts w:ascii="Times New Roman" w:hAnsi="Times New Roman" w:cs="Times New Roman"/>
          <w:sz w:val="24"/>
          <w:szCs w:val="24"/>
        </w:rPr>
        <w:t>6325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C8E816B" w14:textId="68B8C1C3" w:rsidR="00CD0EC0" w:rsidRPr="002F7B4B" w:rsidRDefault="009D1AE9" w:rsidP="002F7B4B">
      <w:pPr>
        <w:spacing w:after="0" w:line="240" w:lineRule="auto"/>
        <w:jc w:val="both"/>
        <w:rPr>
          <w:rFonts w:ascii="Times New Roman" w:hAnsi="Times New Roman" w:cs="Times New Roman"/>
          <w:spacing w:val="1"/>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85591A" w:rsidRPr="0085591A">
        <w:rPr>
          <w:rFonts w:ascii="Times New Roman" w:hAnsi="Times New Roman" w:cs="Times New Roman"/>
          <w:sz w:val="24"/>
          <w:szCs w:val="24"/>
        </w:rPr>
        <w:t>Закупівля конусів дорожніх за кодом ДК 021:2015 34920000-2 Дорожнє обладнання</w:t>
      </w:r>
    </w:p>
    <w:p w14:paraId="58B32058" w14:textId="77777777" w:rsidR="0085591A" w:rsidRDefault="0085591A" w:rsidP="002F7B4B">
      <w:pPr>
        <w:spacing w:after="0" w:line="240" w:lineRule="auto"/>
        <w:ind w:firstLine="357"/>
        <w:jc w:val="center"/>
        <w:rPr>
          <w:rFonts w:ascii="Times New Roman" w:hAnsi="Times New Roman" w:cs="Times New Roman"/>
          <w:b/>
          <w:color w:val="000000"/>
          <w:sz w:val="24"/>
          <w:szCs w:val="24"/>
        </w:rPr>
      </w:pPr>
    </w:p>
    <w:p w14:paraId="70BF1E5F" w14:textId="77777777" w:rsidR="0085591A" w:rsidRPr="0085591A" w:rsidRDefault="0085591A" w:rsidP="0085591A">
      <w:pPr>
        <w:spacing w:after="0" w:line="240" w:lineRule="auto"/>
        <w:jc w:val="center"/>
        <w:rPr>
          <w:rFonts w:ascii="Times New Roman" w:hAnsi="Times New Roman" w:cs="Times New Roman"/>
          <w:b/>
          <w:sz w:val="24"/>
          <w:szCs w:val="24"/>
        </w:rPr>
      </w:pPr>
      <w:bookmarkStart w:id="0" w:name="_Hlk175217186"/>
      <w:r w:rsidRPr="0085591A">
        <w:rPr>
          <w:rFonts w:ascii="Times New Roman" w:hAnsi="Times New Roman" w:cs="Times New Roman"/>
          <w:b/>
          <w:sz w:val="24"/>
          <w:szCs w:val="24"/>
        </w:rPr>
        <w:t>ТЕХНІЧНА СПЕЦИФІКАЦІЯ</w:t>
      </w:r>
    </w:p>
    <w:p w14:paraId="6EFD28A1" w14:textId="77777777" w:rsidR="0085591A" w:rsidRPr="0085591A" w:rsidRDefault="0085591A" w:rsidP="0085591A">
      <w:pPr>
        <w:spacing w:after="0" w:line="240" w:lineRule="auto"/>
        <w:rPr>
          <w:rFonts w:ascii="Times New Roman" w:eastAsia="Aptos" w:hAnsi="Times New Roman" w:cs="Times New Roman"/>
          <w:color w:val="000000"/>
          <w:kern w:val="2"/>
          <w:sz w:val="24"/>
          <w:szCs w:val="24"/>
          <w14:ligatures w14:val="standardContextual"/>
        </w:rPr>
      </w:pPr>
      <w:bookmarkStart w:id="1" w:name="_Hlk204247695"/>
    </w:p>
    <w:tbl>
      <w:tblPr>
        <w:tblStyle w:val="15"/>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6528"/>
        <w:gridCol w:w="1251"/>
        <w:gridCol w:w="1291"/>
      </w:tblGrid>
      <w:tr w:rsidR="0085591A" w:rsidRPr="0085591A" w14:paraId="06BD0EDA" w14:textId="77777777" w:rsidTr="0085591A">
        <w:tc>
          <w:tcPr>
            <w:tcW w:w="569" w:type="dxa"/>
            <w:vAlign w:val="center"/>
          </w:tcPr>
          <w:p w14:paraId="010CAE17" w14:textId="77777777" w:rsidR="0085591A" w:rsidRPr="0085591A" w:rsidRDefault="0085591A" w:rsidP="0085591A">
            <w:pPr>
              <w:suppressAutoHyphens/>
              <w:contextualSpacing/>
              <w:jc w:val="center"/>
              <w:rPr>
                <w:rFonts w:ascii="Times New Roman" w:eastAsia="Aptos" w:hAnsi="Times New Roman" w:cs="Times New Roman"/>
                <w:b/>
                <w:bCs/>
                <w:color w:val="000000"/>
                <w:sz w:val="24"/>
                <w:szCs w:val="24"/>
              </w:rPr>
            </w:pPr>
            <w:bookmarkStart w:id="2" w:name="_Hlk204248034"/>
            <w:bookmarkEnd w:id="1"/>
            <w:r w:rsidRPr="0085591A">
              <w:rPr>
                <w:rFonts w:ascii="Times New Roman" w:eastAsia="Aptos" w:hAnsi="Times New Roman" w:cs="Times New Roman"/>
                <w:b/>
                <w:bCs/>
                <w:color w:val="000000"/>
                <w:sz w:val="24"/>
                <w:szCs w:val="24"/>
              </w:rPr>
              <w:t>№</w:t>
            </w:r>
          </w:p>
          <w:p w14:paraId="5E7F56BC" w14:textId="77777777" w:rsidR="0085591A" w:rsidRPr="0085591A" w:rsidRDefault="0085591A" w:rsidP="0085591A">
            <w:pPr>
              <w:suppressAutoHyphens/>
              <w:contextualSpacing/>
              <w:jc w:val="both"/>
              <w:rPr>
                <w:rFonts w:ascii="Times New Roman" w:eastAsia="Aptos" w:hAnsi="Times New Roman" w:cs="Times New Roman"/>
                <w:b/>
                <w:bCs/>
                <w:color w:val="000000"/>
                <w:sz w:val="24"/>
                <w:szCs w:val="24"/>
              </w:rPr>
            </w:pPr>
            <w:r w:rsidRPr="0085591A">
              <w:rPr>
                <w:rFonts w:ascii="Times New Roman" w:eastAsia="Aptos" w:hAnsi="Times New Roman" w:cs="Times New Roman"/>
                <w:b/>
                <w:bCs/>
                <w:color w:val="000000"/>
                <w:sz w:val="24"/>
                <w:szCs w:val="24"/>
              </w:rPr>
              <w:t>з/п</w:t>
            </w:r>
          </w:p>
        </w:tc>
        <w:tc>
          <w:tcPr>
            <w:tcW w:w="6528" w:type="dxa"/>
            <w:vAlign w:val="center"/>
          </w:tcPr>
          <w:p w14:paraId="562F54D8" w14:textId="77777777" w:rsidR="0085591A" w:rsidRPr="0085591A" w:rsidRDefault="0085591A" w:rsidP="0085591A">
            <w:pPr>
              <w:suppressAutoHyphens/>
              <w:contextualSpacing/>
              <w:jc w:val="center"/>
              <w:rPr>
                <w:rFonts w:ascii="Times New Roman" w:eastAsia="Aptos" w:hAnsi="Times New Roman" w:cs="Times New Roman"/>
                <w:b/>
                <w:bCs/>
                <w:color w:val="000000"/>
                <w:sz w:val="24"/>
                <w:szCs w:val="24"/>
              </w:rPr>
            </w:pPr>
            <w:r w:rsidRPr="0085591A">
              <w:rPr>
                <w:rFonts w:ascii="Times New Roman" w:eastAsia="Aptos" w:hAnsi="Times New Roman" w:cs="Times New Roman"/>
                <w:b/>
                <w:bCs/>
                <w:color w:val="000000"/>
                <w:sz w:val="24"/>
                <w:szCs w:val="24"/>
              </w:rPr>
              <w:t>Найменування товару</w:t>
            </w:r>
          </w:p>
        </w:tc>
        <w:tc>
          <w:tcPr>
            <w:tcW w:w="1251" w:type="dxa"/>
            <w:vAlign w:val="center"/>
          </w:tcPr>
          <w:p w14:paraId="70D6D302" w14:textId="77777777" w:rsidR="0085591A" w:rsidRPr="0085591A" w:rsidRDefault="0085591A" w:rsidP="0085591A">
            <w:pPr>
              <w:suppressAutoHyphens/>
              <w:contextualSpacing/>
              <w:jc w:val="center"/>
              <w:rPr>
                <w:rFonts w:ascii="Times New Roman" w:eastAsia="Aptos" w:hAnsi="Times New Roman" w:cs="Times New Roman"/>
                <w:b/>
                <w:bCs/>
                <w:color w:val="000000"/>
                <w:sz w:val="24"/>
                <w:szCs w:val="24"/>
              </w:rPr>
            </w:pPr>
            <w:r w:rsidRPr="0085591A">
              <w:rPr>
                <w:rFonts w:ascii="Times New Roman" w:eastAsia="Aptos" w:hAnsi="Times New Roman" w:cs="Times New Roman"/>
                <w:b/>
                <w:bCs/>
                <w:color w:val="000000"/>
                <w:sz w:val="24"/>
                <w:szCs w:val="24"/>
              </w:rPr>
              <w:t>Одиниця виміру</w:t>
            </w:r>
          </w:p>
        </w:tc>
        <w:tc>
          <w:tcPr>
            <w:tcW w:w="1291" w:type="dxa"/>
            <w:vAlign w:val="center"/>
          </w:tcPr>
          <w:p w14:paraId="7C69ED2F" w14:textId="77777777" w:rsidR="0085591A" w:rsidRPr="0085591A" w:rsidRDefault="0085591A" w:rsidP="0085591A">
            <w:pPr>
              <w:suppressAutoHyphens/>
              <w:contextualSpacing/>
              <w:jc w:val="both"/>
              <w:rPr>
                <w:rFonts w:ascii="Times New Roman" w:eastAsia="Aptos" w:hAnsi="Times New Roman" w:cs="Times New Roman"/>
                <w:b/>
                <w:bCs/>
                <w:color w:val="000000"/>
                <w:sz w:val="24"/>
                <w:szCs w:val="24"/>
              </w:rPr>
            </w:pPr>
            <w:r w:rsidRPr="0085591A">
              <w:rPr>
                <w:rFonts w:ascii="Times New Roman" w:eastAsia="Aptos" w:hAnsi="Times New Roman" w:cs="Times New Roman"/>
                <w:b/>
                <w:bCs/>
                <w:color w:val="000000"/>
                <w:sz w:val="24"/>
                <w:szCs w:val="24"/>
              </w:rPr>
              <w:t>Кількість</w:t>
            </w:r>
          </w:p>
        </w:tc>
      </w:tr>
      <w:tr w:rsidR="0085591A" w:rsidRPr="0085591A" w14:paraId="54BEC6DC" w14:textId="77777777" w:rsidTr="0085591A">
        <w:tc>
          <w:tcPr>
            <w:tcW w:w="569" w:type="dxa"/>
            <w:vAlign w:val="center"/>
          </w:tcPr>
          <w:p w14:paraId="1DEF6E88" w14:textId="77777777" w:rsidR="0085591A" w:rsidRPr="0085591A" w:rsidRDefault="0085591A" w:rsidP="0085591A">
            <w:pPr>
              <w:suppressAutoHyphens/>
              <w:contextualSpacing/>
              <w:jc w:val="center"/>
              <w:rPr>
                <w:rFonts w:ascii="Times New Roman" w:eastAsia="Aptos" w:hAnsi="Times New Roman" w:cs="Times New Roman"/>
                <w:color w:val="000000"/>
                <w:sz w:val="24"/>
                <w:szCs w:val="24"/>
              </w:rPr>
            </w:pPr>
            <w:r w:rsidRPr="0085591A">
              <w:rPr>
                <w:rFonts w:ascii="Times New Roman" w:eastAsia="Aptos" w:hAnsi="Times New Roman" w:cs="Times New Roman"/>
                <w:b/>
                <w:bCs/>
                <w:color w:val="000000"/>
                <w:sz w:val="24"/>
                <w:szCs w:val="24"/>
              </w:rPr>
              <w:t>1</w:t>
            </w:r>
          </w:p>
        </w:tc>
        <w:tc>
          <w:tcPr>
            <w:tcW w:w="6528" w:type="dxa"/>
            <w:vAlign w:val="center"/>
          </w:tcPr>
          <w:p w14:paraId="057006C4" w14:textId="77777777" w:rsidR="0085591A" w:rsidRPr="0085591A" w:rsidRDefault="0085591A" w:rsidP="0085591A">
            <w:pPr>
              <w:suppressAutoHyphens/>
              <w:contextualSpacing/>
              <w:jc w:val="both"/>
              <w:rPr>
                <w:rFonts w:ascii="Times New Roman" w:eastAsia="Aptos" w:hAnsi="Times New Roman" w:cs="Times New Roman"/>
                <w:b/>
                <w:bCs/>
                <w:color w:val="000000"/>
                <w:sz w:val="24"/>
                <w:szCs w:val="24"/>
              </w:rPr>
            </w:pPr>
            <w:r w:rsidRPr="0085591A">
              <w:rPr>
                <w:rFonts w:ascii="Times New Roman" w:eastAsia="Aptos" w:hAnsi="Times New Roman" w:cs="Times New Roman"/>
                <w:color w:val="000000"/>
                <w:sz w:val="24"/>
                <w:szCs w:val="24"/>
              </w:rPr>
              <w:t>Дорожній конус</w:t>
            </w:r>
          </w:p>
        </w:tc>
        <w:tc>
          <w:tcPr>
            <w:tcW w:w="1251" w:type="dxa"/>
            <w:vAlign w:val="center"/>
          </w:tcPr>
          <w:p w14:paraId="35C038E3" w14:textId="77777777" w:rsidR="0085591A" w:rsidRPr="0085591A" w:rsidRDefault="0085591A" w:rsidP="0085591A">
            <w:pPr>
              <w:suppressAutoHyphens/>
              <w:contextualSpacing/>
              <w:jc w:val="center"/>
              <w:rPr>
                <w:rFonts w:ascii="Times New Roman" w:eastAsia="Aptos" w:hAnsi="Times New Roman" w:cs="Times New Roman"/>
                <w:b/>
                <w:bCs/>
                <w:color w:val="000000"/>
                <w:sz w:val="24"/>
                <w:szCs w:val="24"/>
              </w:rPr>
            </w:pPr>
            <w:r w:rsidRPr="0085591A">
              <w:rPr>
                <w:rFonts w:ascii="Times New Roman" w:eastAsia="Aptos" w:hAnsi="Times New Roman" w:cs="Times New Roman"/>
                <w:color w:val="000000"/>
                <w:sz w:val="24"/>
                <w:szCs w:val="24"/>
              </w:rPr>
              <w:t>шт.</w:t>
            </w:r>
          </w:p>
        </w:tc>
        <w:tc>
          <w:tcPr>
            <w:tcW w:w="1291" w:type="dxa"/>
            <w:vAlign w:val="center"/>
          </w:tcPr>
          <w:p w14:paraId="2A533256" w14:textId="77777777" w:rsidR="0085591A" w:rsidRPr="0085591A" w:rsidRDefault="0085591A" w:rsidP="0085591A">
            <w:pPr>
              <w:suppressAutoHyphens/>
              <w:contextualSpacing/>
              <w:jc w:val="center"/>
              <w:rPr>
                <w:rFonts w:ascii="Times New Roman" w:eastAsia="Aptos" w:hAnsi="Times New Roman" w:cs="Times New Roman"/>
                <w:b/>
                <w:bCs/>
                <w:color w:val="000000"/>
                <w:sz w:val="24"/>
                <w:szCs w:val="24"/>
              </w:rPr>
            </w:pPr>
            <w:r w:rsidRPr="0085591A">
              <w:rPr>
                <w:rFonts w:ascii="Times New Roman" w:eastAsia="Aptos" w:hAnsi="Times New Roman" w:cs="Times New Roman"/>
                <w:color w:val="000000"/>
                <w:sz w:val="24"/>
                <w:szCs w:val="24"/>
              </w:rPr>
              <w:t>5</w:t>
            </w:r>
          </w:p>
        </w:tc>
      </w:tr>
      <w:tr w:rsidR="0085591A" w:rsidRPr="0085591A" w14:paraId="18FFD31A" w14:textId="77777777" w:rsidTr="0085591A">
        <w:tc>
          <w:tcPr>
            <w:tcW w:w="9639" w:type="dxa"/>
            <w:gridSpan w:val="4"/>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2"/>
              <w:gridCol w:w="66"/>
              <w:gridCol w:w="66"/>
              <w:gridCol w:w="66"/>
              <w:gridCol w:w="81"/>
            </w:tblGrid>
            <w:tr w:rsidR="0085591A" w:rsidRPr="0085591A" w14:paraId="1B46E6E2" w14:textId="77777777" w:rsidTr="00FB5D76">
              <w:trPr>
                <w:tblCellSpacing w:w="15" w:type="dxa"/>
              </w:trPr>
              <w:tc>
                <w:tcPr>
                  <w:tcW w:w="0" w:type="auto"/>
                  <w:vAlign w:val="center"/>
                  <w:hideMark/>
                </w:tcPr>
                <w:p w14:paraId="35DFD9E9"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b/>
                      <w:bCs/>
                      <w:color w:val="000000"/>
                      <w:kern w:val="2"/>
                      <w:sz w:val="24"/>
                      <w:szCs w:val="24"/>
                      <w14:ligatures w14:val="standardContextual"/>
                    </w:rPr>
                    <w:t>Висота:</w:t>
                  </w:r>
                  <w:r w:rsidRPr="0085591A">
                    <w:rPr>
                      <w:rFonts w:ascii="Times New Roman" w:eastAsia="Aptos" w:hAnsi="Times New Roman" w:cs="Times New Roman"/>
                      <w:color w:val="000000"/>
                      <w:kern w:val="2"/>
                      <w:sz w:val="24"/>
                      <w:szCs w:val="24"/>
                      <w14:ligatures w14:val="standardContextual"/>
                    </w:rPr>
                    <w:t xml:space="preserve"> 520 мм.</w:t>
                  </w:r>
                </w:p>
              </w:tc>
              <w:tc>
                <w:tcPr>
                  <w:tcW w:w="0" w:type="auto"/>
                  <w:vAlign w:val="center"/>
                  <w:hideMark/>
                </w:tcPr>
                <w:p w14:paraId="67B7A060"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c>
                <w:tcPr>
                  <w:tcW w:w="0" w:type="auto"/>
                  <w:vAlign w:val="center"/>
                  <w:hideMark/>
                </w:tcPr>
                <w:p w14:paraId="0A906FD3"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c>
                <w:tcPr>
                  <w:tcW w:w="0" w:type="auto"/>
                  <w:vAlign w:val="center"/>
                  <w:hideMark/>
                </w:tcPr>
                <w:p w14:paraId="621EA92C"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c>
                <w:tcPr>
                  <w:tcW w:w="0" w:type="auto"/>
                  <w:vAlign w:val="center"/>
                  <w:hideMark/>
                </w:tcPr>
                <w:p w14:paraId="4D4CEDAD"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r>
          </w:tbl>
          <w:p w14:paraId="0A142833" w14:textId="77777777" w:rsidR="0085591A" w:rsidRPr="0085591A" w:rsidRDefault="0085591A" w:rsidP="0085591A">
            <w:pPr>
              <w:jc w:val="both"/>
              <w:rPr>
                <w:rFonts w:ascii="Times New Roman" w:eastAsia="Aptos"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2"/>
              <w:gridCol w:w="66"/>
              <w:gridCol w:w="66"/>
              <w:gridCol w:w="66"/>
              <w:gridCol w:w="81"/>
            </w:tblGrid>
            <w:tr w:rsidR="0085591A" w:rsidRPr="0085591A" w14:paraId="23A8AF77" w14:textId="77777777" w:rsidTr="00FB5D76">
              <w:trPr>
                <w:tblCellSpacing w:w="15" w:type="dxa"/>
              </w:trPr>
              <w:tc>
                <w:tcPr>
                  <w:tcW w:w="0" w:type="auto"/>
                  <w:vAlign w:val="center"/>
                  <w:hideMark/>
                </w:tcPr>
                <w:p w14:paraId="4256D391"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b/>
                      <w:bCs/>
                      <w:color w:val="000000"/>
                      <w:kern w:val="2"/>
                      <w:sz w:val="24"/>
                      <w:szCs w:val="24"/>
                      <w14:ligatures w14:val="standardContextual"/>
                    </w:rPr>
                    <w:t>Діаметр основи:</w:t>
                  </w:r>
                  <w:r w:rsidRPr="0085591A">
                    <w:rPr>
                      <w:rFonts w:ascii="Times New Roman" w:eastAsia="Aptos" w:hAnsi="Times New Roman" w:cs="Times New Roman"/>
                      <w:color w:val="000000"/>
                      <w:kern w:val="2"/>
                      <w:sz w:val="24"/>
                      <w:szCs w:val="24"/>
                      <w14:ligatures w14:val="standardContextual"/>
                    </w:rPr>
                    <w:t xml:space="preserve"> 300 мм.</w:t>
                  </w:r>
                </w:p>
              </w:tc>
              <w:tc>
                <w:tcPr>
                  <w:tcW w:w="0" w:type="auto"/>
                  <w:vAlign w:val="center"/>
                  <w:hideMark/>
                </w:tcPr>
                <w:p w14:paraId="17FF2D82"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c>
                <w:tcPr>
                  <w:tcW w:w="0" w:type="auto"/>
                  <w:vAlign w:val="center"/>
                  <w:hideMark/>
                </w:tcPr>
                <w:p w14:paraId="338180CF"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c>
                <w:tcPr>
                  <w:tcW w:w="0" w:type="auto"/>
                  <w:vAlign w:val="center"/>
                  <w:hideMark/>
                </w:tcPr>
                <w:p w14:paraId="0A3761F7"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c>
                <w:tcPr>
                  <w:tcW w:w="0" w:type="auto"/>
                  <w:vAlign w:val="center"/>
                  <w:hideMark/>
                </w:tcPr>
                <w:p w14:paraId="09B5EF44"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tc>
            </w:tr>
          </w:tbl>
          <w:p w14:paraId="19601EB5" w14:textId="77777777" w:rsidR="0085591A" w:rsidRPr="0085591A" w:rsidRDefault="0085591A" w:rsidP="0085591A">
            <w:pPr>
              <w:jc w:val="both"/>
              <w:rPr>
                <w:rFonts w:ascii="Times New Roman" w:eastAsia="Aptos" w:hAnsi="Times New Roman" w:cs="Times New Roman"/>
                <w:vanish/>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6"/>
            </w:tblGrid>
            <w:tr w:rsidR="0085591A" w:rsidRPr="0085591A" w14:paraId="26CA7A9E" w14:textId="77777777" w:rsidTr="00FB5D76">
              <w:trPr>
                <w:tblCellSpacing w:w="15" w:type="dxa"/>
              </w:trPr>
              <w:tc>
                <w:tcPr>
                  <w:tcW w:w="0" w:type="auto"/>
                  <w:vAlign w:val="center"/>
                  <w:hideMark/>
                </w:tcPr>
                <w:p w14:paraId="1786BB41"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b/>
                      <w:bCs/>
                      <w:color w:val="000000"/>
                      <w:kern w:val="2"/>
                      <w:sz w:val="24"/>
                      <w:szCs w:val="24"/>
                      <w14:ligatures w14:val="standardContextual"/>
                    </w:rPr>
                    <w:t>Матеріал:</w:t>
                  </w:r>
                  <w:r w:rsidRPr="0085591A">
                    <w:rPr>
                      <w:rFonts w:ascii="Times New Roman" w:eastAsia="Aptos" w:hAnsi="Times New Roman" w:cs="Times New Roman"/>
                      <w:color w:val="000000"/>
                      <w:kern w:val="2"/>
                      <w:sz w:val="24"/>
                      <w:szCs w:val="24"/>
                      <w14:ligatures w14:val="standardContextual"/>
                    </w:rPr>
                    <w:t xml:space="preserve"> еластичний та ударостійкий ПВХ</w:t>
                  </w:r>
                </w:p>
              </w:tc>
            </w:tr>
            <w:tr w:rsidR="0085591A" w:rsidRPr="0085591A" w14:paraId="5532673A" w14:textId="77777777" w:rsidTr="00FB5D76">
              <w:trPr>
                <w:tblCellSpacing w:w="15" w:type="dxa"/>
              </w:trPr>
              <w:tc>
                <w:tcPr>
                  <w:tcW w:w="0" w:type="auto"/>
                  <w:vAlign w:val="center"/>
                </w:tcPr>
                <w:p w14:paraId="40CEB63F" w14:textId="77777777" w:rsidR="0085591A" w:rsidRPr="0085591A" w:rsidRDefault="0085591A" w:rsidP="0085591A">
                  <w:pPr>
                    <w:spacing w:after="0" w:line="240" w:lineRule="auto"/>
                    <w:jc w:val="both"/>
                    <w:rPr>
                      <w:rFonts w:ascii="Times New Roman" w:eastAsia="Aptos" w:hAnsi="Times New Roman" w:cs="Times New Roman"/>
                      <w:b/>
                      <w:bCs/>
                      <w:color w:val="000000"/>
                      <w:kern w:val="2"/>
                      <w:sz w:val="24"/>
                      <w:szCs w:val="24"/>
                      <w14:ligatures w14:val="standardContextual"/>
                    </w:rPr>
                  </w:pPr>
                  <w:r w:rsidRPr="0085591A">
                    <w:rPr>
                      <w:rFonts w:ascii="Times New Roman" w:eastAsia="Aptos" w:hAnsi="Times New Roman" w:cs="Times New Roman"/>
                      <w:b/>
                      <w:bCs/>
                      <w:color w:val="000000"/>
                      <w:kern w:val="2"/>
                      <w:sz w:val="24"/>
                      <w:szCs w:val="24"/>
                      <w14:ligatures w14:val="standardContextual"/>
                    </w:rPr>
                    <w:t xml:space="preserve">Колір: </w:t>
                  </w:r>
                  <w:r w:rsidRPr="0085591A">
                    <w:rPr>
                      <w:rFonts w:ascii="Times New Roman" w:eastAsia="Aptos" w:hAnsi="Times New Roman" w:cs="Times New Roman"/>
                      <w:color w:val="000000"/>
                      <w:kern w:val="2"/>
                      <w:sz w:val="24"/>
                      <w:szCs w:val="24"/>
                      <w14:ligatures w14:val="standardContextual"/>
                    </w:rPr>
                    <w:t>насичений, добре видимий із великої відстані</w:t>
                  </w:r>
                  <w:r w:rsidRPr="0085591A">
                    <w:rPr>
                      <w:rFonts w:ascii="Times New Roman" w:eastAsia="Aptos" w:hAnsi="Times New Roman" w:cs="Times New Roman"/>
                      <w:b/>
                      <w:bCs/>
                      <w:color w:val="000000"/>
                      <w:kern w:val="2"/>
                      <w:sz w:val="24"/>
                      <w:szCs w:val="24"/>
                      <w14:ligatures w14:val="standardContextual"/>
                    </w:rPr>
                    <w:t>.</w:t>
                  </w:r>
                </w:p>
              </w:tc>
            </w:tr>
          </w:tbl>
          <w:p w14:paraId="09AEFBD5" w14:textId="77777777" w:rsidR="0085591A" w:rsidRPr="0085591A" w:rsidRDefault="0085591A" w:rsidP="0085591A">
            <w:pPr>
              <w:jc w:val="both"/>
              <w:rPr>
                <w:rFonts w:ascii="Times New Roman" w:eastAsia="Aptos" w:hAnsi="Times New Roman" w:cs="Times New Roman"/>
                <w:i/>
                <w:iCs/>
                <w:color w:val="000000"/>
                <w:sz w:val="24"/>
                <w:szCs w:val="24"/>
              </w:rPr>
            </w:pPr>
          </w:p>
        </w:tc>
      </w:tr>
    </w:tbl>
    <w:p w14:paraId="2952532E"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p w14:paraId="564DD12B"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color w:val="000000"/>
          <w:kern w:val="2"/>
          <w:sz w:val="24"/>
          <w:szCs w:val="24"/>
          <w14:ligatures w14:val="standardContextual"/>
        </w:rPr>
        <w:t xml:space="preserve">1. Товар постачається новим, що раніше не був у використанні, без механічних пошкоджень, з повною комплектацією. Із товаром поставляються технічний паспорт чи інструкція з експлуатації українською мовою, гарантійні талони тощо,  передбачені для товару. Упаковка, в якій постачається товар, має відповідати загальноприйнятим стандартам і технічним умовам, забезпечує збереження,  цілісність та неушкодженість під час транспортування. </w:t>
      </w:r>
    </w:p>
    <w:p w14:paraId="025E4713"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color w:val="000000"/>
          <w:kern w:val="2"/>
          <w:sz w:val="24"/>
          <w:szCs w:val="24"/>
          <w14:ligatures w14:val="standardContextual"/>
        </w:rPr>
        <w:t>2. Технічні та якісні характеристики повинні відповідати державним стандартам, нормативним документам та чинному законодавству щодо показників якості такого роду/виду товарів.</w:t>
      </w:r>
    </w:p>
    <w:p w14:paraId="75D95F51"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color w:val="000000"/>
          <w:kern w:val="2"/>
          <w:sz w:val="24"/>
          <w:szCs w:val="24"/>
          <w14:ligatures w14:val="standardContextual"/>
        </w:rPr>
        <w:t>3. Доставка та розвантаження товару здійснюється за рахунок і силами Постачальника у попередньо узгоджені терміни і визначається в кожному випадку замовленням Замовника.</w:t>
      </w:r>
    </w:p>
    <w:p w14:paraId="2F2AA835"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color w:val="000000"/>
          <w:kern w:val="2"/>
          <w:sz w:val="24"/>
          <w:szCs w:val="24"/>
          <w14:ligatures w14:val="standardContextual"/>
        </w:rPr>
        <w:t>4. Приймання товарів проводиться при наявності товаро-супроводжуючих документів, видаткової накладної, актів прийому-передачі товару та копії документів, що підтверджують якість товарів.</w:t>
      </w:r>
    </w:p>
    <w:p w14:paraId="1283B486" w14:textId="77777777" w:rsidR="0085591A" w:rsidRPr="0085591A" w:rsidRDefault="0085591A" w:rsidP="0085591A">
      <w:pPr>
        <w:spacing w:after="0" w:line="240" w:lineRule="auto"/>
        <w:ind w:firstLine="567"/>
        <w:jc w:val="both"/>
        <w:rPr>
          <w:rFonts w:ascii="Times New Roman" w:eastAsia="Aptos" w:hAnsi="Times New Roman" w:cs="Times New Roman"/>
          <w:color w:val="000000"/>
          <w:spacing w:val="-2"/>
          <w:kern w:val="2"/>
          <w:sz w:val="24"/>
          <w:szCs w:val="24"/>
          <w14:ligatures w14:val="standardContextual"/>
        </w:rPr>
      </w:pPr>
      <w:r w:rsidRPr="0085591A">
        <w:rPr>
          <w:rFonts w:ascii="Times New Roman" w:eastAsia="Aptos" w:hAnsi="Times New Roman" w:cs="Times New Roman"/>
          <w:color w:val="000000"/>
          <w:spacing w:val="-2"/>
          <w:kern w:val="2"/>
          <w:sz w:val="24"/>
          <w:szCs w:val="24"/>
          <w14:ligatures w14:val="standardContextual"/>
        </w:rPr>
        <w:t>5.  Гарантійний строк зберігання (придатності): встановлюється нормативно-технічною документацією та виробником, але не менше 12 місяців.</w:t>
      </w:r>
    </w:p>
    <w:p w14:paraId="61B14627"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r w:rsidRPr="0085591A">
        <w:rPr>
          <w:rFonts w:ascii="Times New Roman" w:eastAsia="Aptos" w:hAnsi="Times New Roman" w:cs="Times New Roman"/>
          <w:color w:val="000000"/>
          <w:spacing w:val="-2"/>
          <w:kern w:val="2"/>
          <w:sz w:val="24"/>
          <w:szCs w:val="24"/>
          <w14:ligatures w14:val="standardContextual"/>
        </w:rPr>
        <w:t>Гарантійний строк експлуатації: встановлюється нормативно-технічною документацією та виробником, але не менше 12 місяців.</w:t>
      </w:r>
    </w:p>
    <w:p w14:paraId="68DD3F53"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p>
    <w:p w14:paraId="0AD34858" w14:textId="77777777" w:rsidR="0085591A" w:rsidRPr="0085591A" w:rsidRDefault="0085591A" w:rsidP="0085591A">
      <w:pPr>
        <w:spacing w:after="0" w:line="240" w:lineRule="auto"/>
        <w:ind w:firstLine="567"/>
        <w:jc w:val="both"/>
        <w:rPr>
          <w:rFonts w:ascii="Times New Roman" w:eastAsia="Aptos" w:hAnsi="Times New Roman" w:cs="Times New Roman"/>
          <w:bCs/>
          <w:i/>
          <w:iCs/>
          <w:color w:val="000000"/>
          <w:kern w:val="2"/>
          <w:sz w:val="24"/>
          <w:szCs w:val="24"/>
          <w14:ligatures w14:val="standardContextual"/>
        </w:rPr>
      </w:pPr>
      <w:r w:rsidRPr="0085591A">
        <w:rPr>
          <w:rFonts w:ascii="Times New Roman" w:eastAsia="Aptos" w:hAnsi="Times New Roman" w:cs="Times New Roman"/>
          <w:bCs/>
          <w:i/>
          <w:iCs/>
          <w:color w:val="000000"/>
          <w:kern w:val="2"/>
          <w:sz w:val="24"/>
          <w:szCs w:val="24"/>
          <w14:ligatures w14:val="standardContextual"/>
        </w:rPr>
        <w:lastRenderedPageBreak/>
        <w:t>Товар має бути з технічними та якісними характеристиками рівноцінними або кращими, ніж визначені Замовником.</w:t>
      </w:r>
    </w:p>
    <w:p w14:paraId="668B0EBD"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p>
    <w:p w14:paraId="7FC16064" w14:textId="77777777" w:rsidR="0085591A" w:rsidRPr="0085591A" w:rsidRDefault="0085591A" w:rsidP="0085591A">
      <w:pPr>
        <w:suppressAutoHyphens/>
        <w:spacing w:after="0" w:line="240" w:lineRule="auto"/>
        <w:ind w:firstLine="567"/>
        <w:jc w:val="both"/>
        <w:rPr>
          <w:rFonts w:ascii="Times New Roman" w:eastAsia="Aptos" w:hAnsi="Times New Roman" w:cs="Times New Roman"/>
          <w:bCs/>
          <w:iCs/>
          <w:color w:val="000000"/>
          <w:kern w:val="2"/>
          <w:sz w:val="24"/>
          <w:szCs w:val="24"/>
          <w14:ligatures w14:val="standardContextual"/>
        </w:rPr>
      </w:pPr>
      <w:r w:rsidRPr="0085591A">
        <w:rPr>
          <w:rFonts w:ascii="Times New Roman" w:eastAsia="Aptos" w:hAnsi="Times New Roman" w:cs="Times New Roman"/>
          <w:bCs/>
          <w:iCs/>
          <w:color w:val="000000"/>
          <w:kern w:val="2"/>
          <w:sz w:val="24"/>
          <w:szCs w:val="24"/>
          <w14:ligatures w14:val="standardContextual"/>
        </w:rPr>
        <w:t>Товар повинен відповідати вимогам:</w:t>
      </w:r>
    </w:p>
    <w:p w14:paraId="389BE692" w14:textId="77777777" w:rsidR="0085591A" w:rsidRPr="0085591A" w:rsidRDefault="0085591A" w:rsidP="0085591A">
      <w:pPr>
        <w:suppressAutoHyphens/>
        <w:spacing w:after="0" w:line="240" w:lineRule="auto"/>
        <w:ind w:firstLine="567"/>
        <w:jc w:val="both"/>
        <w:rPr>
          <w:rFonts w:ascii="Times New Roman" w:eastAsia="Aptos" w:hAnsi="Times New Roman" w:cs="Times New Roman"/>
          <w:bCs/>
          <w:iCs/>
          <w:color w:val="000000"/>
          <w:kern w:val="2"/>
          <w:sz w:val="24"/>
          <w:szCs w:val="24"/>
          <w14:ligatures w14:val="standardContextual"/>
        </w:rPr>
      </w:pPr>
      <w:r w:rsidRPr="0085591A">
        <w:rPr>
          <w:rFonts w:ascii="Times New Roman" w:eastAsia="Aptos" w:hAnsi="Times New Roman" w:cs="Times New Roman"/>
          <w:bCs/>
          <w:iCs/>
          <w:color w:val="000000"/>
          <w:kern w:val="2"/>
          <w:sz w:val="24"/>
          <w:szCs w:val="24"/>
          <w14:ligatures w14:val="standardContextual"/>
        </w:rPr>
        <w:t>Закону України від 14 серпня 2014 року № 1644-VІІ «Про санкції»;</w:t>
      </w:r>
    </w:p>
    <w:p w14:paraId="4FE94DD3" w14:textId="77777777" w:rsidR="0085591A" w:rsidRPr="0085591A" w:rsidRDefault="0085591A" w:rsidP="0085591A">
      <w:pPr>
        <w:suppressAutoHyphens/>
        <w:spacing w:after="0" w:line="240" w:lineRule="auto"/>
        <w:ind w:firstLine="567"/>
        <w:jc w:val="both"/>
        <w:rPr>
          <w:rFonts w:ascii="Times New Roman" w:eastAsia="Aptos" w:hAnsi="Times New Roman" w:cs="Times New Roman"/>
          <w:bCs/>
          <w:iCs/>
          <w:color w:val="000000"/>
          <w:kern w:val="2"/>
          <w:sz w:val="24"/>
          <w:szCs w:val="24"/>
          <w14:ligatures w14:val="standardContextual"/>
        </w:rPr>
      </w:pPr>
      <w:r w:rsidRPr="0085591A">
        <w:rPr>
          <w:rFonts w:ascii="Times New Roman" w:eastAsia="Aptos" w:hAnsi="Times New Roman" w:cs="Times New Roman"/>
          <w:bCs/>
          <w:iCs/>
          <w:color w:val="000000"/>
          <w:kern w:val="2"/>
          <w:sz w:val="24"/>
          <w:szCs w:val="24"/>
          <w14:ligatures w14:val="standardContextual"/>
        </w:rPr>
        <w:t>Указу Президента України від 15 травня 2017 року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45B68E0" w14:textId="77777777" w:rsidR="0085591A" w:rsidRPr="0085591A" w:rsidRDefault="0085591A" w:rsidP="0085591A">
      <w:pPr>
        <w:suppressAutoHyphens/>
        <w:spacing w:after="0" w:line="240" w:lineRule="auto"/>
        <w:ind w:firstLine="567"/>
        <w:jc w:val="both"/>
        <w:rPr>
          <w:rFonts w:ascii="Times New Roman" w:eastAsia="Aptos" w:hAnsi="Times New Roman" w:cs="Times New Roman"/>
          <w:bCs/>
          <w:iCs/>
          <w:color w:val="000000"/>
          <w:kern w:val="2"/>
          <w:sz w:val="24"/>
          <w:szCs w:val="24"/>
          <w14:ligatures w14:val="standardContextual"/>
        </w:rPr>
      </w:pPr>
      <w:r w:rsidRPr="0085591A">
        <w:rPr>
          <w:rFonts w:ascii="Times New Roman" w:eastAsia="Aptos" w:hAnsi="Times New Roman" w:cs="Times New Roman"/>
          <w:bCs/>
          <w:iCs/>
          <w:color w:val="000000"/>
          <w:kern w:val="2"/>
          <w:sz w:val="24"/>
          <w:szCs w:val="24"/>
          <w14:ligatures w14:val="standardContextual"/>
        </w:rPr>
        <w:t xml:space="preserve">підпункту 4 пункту 2 частини першої Розпорядження Кабінету Міністрів України від 11 вересня 2014 року №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85591A">
        <w:rPr>
          <w:rFonts w:ascii="Times New Roman" w:eastAsia="Aptos" w:hAnsi="Times New Roman" w:cs="Times New Roman"/>
          <w:bCs/>
          <w:iCs/>
          <w:color w:val="000000"/>
          <w:kern w:val="2"/>
          <w:sz w:val="24"/>
          <w:szCs w:val="24"/>
          <w14:ligatures w14:val="standardContextual"/>
        </w:rPr>
        <w:t>закупівель</w:t>
      </w:r>
      <w:proofErr w:type="spellEnd"/>
      <w:r w:rsidRPr="0085591A">
        <w:rPr>
          <w:rFonts w:ascii="Times New Roman" w:eastAsia="Aptos" w:hAnsi="Times New Roman" w:cs="Times New Roman"/>
          <w:bCs/>
          <w:iCs/>
          <w:color w:val="000000"/>
          <w:kern w:val="2"/>
          <w:sz w:val="24"/>
          <w:szCs w:val="24"/>
          <w14:ligatures w14:val="standardContextual"/>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в інших суб’єктів господарювання, що здійснюють продаж товарів, робіт і послуг походженням з Російською Федерацією, крім випадків, коли заміщення таких предметів закупівлі іншими неможливе, що підтверджено Міністерством економічного розвитку і торгівлі.</w:t>
      </w:r>
    </w:p>
    <w:p w14:paraId="01D32F52" w14:textId="77777777" w:rsidR="0085591A" w:rsidRPr="0085591A" w:rsidRDefault="0085591A" w:rsidP="0085591A">
      <w:pPr>
        <w:suppressAutoHyphens/>
        <w:spacing w:after="0" w:line="240" w:lineRule="auto"/>
        <w:ind w:firstLine="567"/>
        <w:jc w:val="both"/>
        <w:rPr>
          <w:rFonts w:ascii="Times New Roman" w:eastAsia="Aptos" w:hAnsi="Times New Roman" w:cs="Times New Roman"/>
          <w:bCs/>
          <w:iCs/>
          <w:color w:val="000000"/>
          <w:kern w:val="2"/>
          <w:sz w:val="24"/>
          <w:szCs w:val="24"/>
          <w14:ligatures w14:val="standardContextual"/>
        </w:rPr>
      </w:pPr>
    </w:p>
    <w:p w14:paraId="1DCB1D61" w14:textId="77777777" w:rsidR="0085591A" w:rsidRPr="0085591A" w:rsidRDefault="0085591A" w:rsidP="0085591A">
      <w:pPr>
        <w:spacing w:after="0" w:line="240" w:lineRule="auto"/>
        <w:ind w:firstLine="567"/>
        <w:jc w:val="both"/>
        <w:rPr>
          <w:rFonts w:ascii="Times New Roman" w:eastAsia="Aptos" w:hAnsi="Times New Roman" w:cs="Times New Roman"/>
          <w:i/>
          <w:iCs/>
          <w:color w:val="000000"/>
          <w:kern w:val="2"/>
          <w:sz w:val="24"/>
          <w:szCs w:val="24"/>
          <w14:ligatures w14:val="standardContextual"/>
        </w:rPr>
      </w:pPr>
      <w:r w:rsidRPr="0085591A">
        <w:rPr>
          <w:rFonts w:ascii="Times New Roman" w:eastAsia="Aptos" w:hAnsi="Times New Roman" w:cs="Times New Roman"/>
          <w:i/>
          <w:iCs/>
          <w:color w:val="000000"/>
          <w:kern w:val="2"/>
          <w:sz w:val="24"/>
          <w:szCs w:val="24"/>
          <w14:ligatures w14:val="standardContextual"/>
        </w:rPr>
        <w:t xml:space="preserve">У ціну мають бути включені прямі, загальновиробничі й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w:t>
      </w:r>
      <w:proofErr w:type="spellStart"/>
      <w:r w:rsidRPr="0085591A">
        <w:rPr>
          <w:rFonts w:ascii="Times New Roman" w:eastAsia="Aptos" w:hAnsi="Times New Roman" w:cs="Times New Roman"/>
          <w:i/>
          <w:iCs/>
          <w:color w:val="000000"/>
          <w:kern w:val="2"/>
          <w:sz w:val="24"/>
          <w:szCs w:val="24"/>
          <w14:ligatures w14:val="standardContextual"/>
        </w:rPr>
        <w:t>приб</w:t>
      </w:r>
      <w:proofErr w:type="spellEnd"/>
      <w:r w:rsidRPr="0085591A">
        <w:rPr>
          <w:rFonts w:ascii="Times New Roman" w:eastAsia="Aptos" w:hAnsi="Times New Roman" w:cs="Times New Roman"/>
          <w:i/>
          <w:iCs/>
          <w:color w:val="000000"/>
          <w:kern w:val="2"/>
          <w:sz w:val="24"/>
          <w:szCs w:val="24"/>
          <w14:ligatures w14:val="standardContextual"/>
        </w:rPr>
        <w:t xml:space="preserve"> 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85591A">
        <w:rPr>
          <w:rFonts w:ascii="Times New Roman" w:eastAsia="Aptos" w:hAnsi="Times New Roman" w:cs="Times New Roman"/>
          <w:i/>
          <w:iCs/>
          <w:color w:val="000000"/>
          <w:kern w:val="2"/>
          <w:sz w:val="24"/>
          <w:szCs w:val="24"/>
          <w14:ligatures w14:val="standardContextual"/>
        </w:rPr>
        <w:t>проєкту</w:t>
      </w:r>
      <w:proofErr w:type="spellEnd"/>
      <w:r w:rsidRPr="0085591A">
        <w:rPr>
          <w:rFonts w:ascii="Times New Roman" w:eastAsia="Aptos" w:hAnsi="Times New Roman" w:cs="Times New Roman"/>
          <w:i/>
          <w:iCs/>
          <w:color w:val="000000"/>
          <w:kern w:val="2"/>
          <w:sz w:val="24"/>
          <w:szCs w:val="24"/>
          <w14:ligatures w14:val="standardContextual"/>
        </w:rPr>
        <w:t xml:space="preserve"> Договору до моменту його повного завершення.</w:t>
      </w:r>
    </w:p>
    <w:p w14:paraId="1432DBC0" w14:textId="77777777" w:rsidR="0085591A" w:rsidRPr="0085591A" w:rsidRDefault="0085591A" w:rsidP="0085591A">
      <w:pPr>
        <w:spacing w:after="0" w:line="240" w:lineRule="auto"/>
        <w:jc w:val="both"/>
        <w:rPr>
          <w:rFonts w:ascii="Times New Roman" w:eastAsia="Aptos" w:hAnsi="Times New Roman" w:cs="Times New Roman"/>
          <w:color w:val="000000"/>
          <w:kern w:val="2"/>
          <w:sz w:val="24"/>
          <w:szCs w:val="24"/>
          <w14:ligatures w14:val="standardContextual"/>
        </w:rPr>
      </w:pPr>
    </w:p>
    <w:p w14:paraId="7E250021" w14:textId="77777777" w:rsidR="0085591A" w:rsidRPr="0085591A" w:rsidRDefault="0085591A" w:rsidP="0085591A">
      <w:pPr>
        <w:spacing w:after="0" w:line="240" w:lineRule="auto"/>
        <w:ind w:firstLine="567"/>
        <w:jc w:val="both"/>
        <w:rPr>
          <w:rFonts w:ascii="Times New Roman" w:eastAsia="Aptos" w:hAnsi="Times New Roman" w:cs="Times New Roman"/>
          <w:color w:val="000000"/>
          <w:kern w:val="2"/>
          <w:sz w:val="24"/>
          <w:szCs w:val="24"/>
          <w14:ligatures w14:val="standardContextual"/>
        </w:rPr>
      </w:pPr>
      <w:bookmarkStart w:id="3" w:name="_Hlk204248043"/>
      <w:bookmarkEnd w:id="2"/>
      <w:r w:rsidRPr="0085591A">
        <w:rPr>
          <w:rFonts w:ascii="Times New Roman" w:eastAsia="Aptos" w:hAnsi="Times New Roman" w:cs="Times New Roman"/>
          <w:color w:val="000000"/>
          <w:kern w:val="2"/>
          <w:sz w:val="24"/>
          <w:szCs w:val="24"/>
          <w14:ligatures w14:val="standardContextual"/>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C82F8B5" w14:textId="77777777" w:rsidR="0085591A" w:rsidRPr="0085591A" w:rsidRDefault="0085591A" w:rsidP="0085591A">
      <w:pPr>
        <w:spacing w:after="0" w:line="240" w:lineRule="auto"/>
        <w:rPr>
          <w:rFonts w:ascii="Times New Roman" w:eastAsia="Aptos" w:hAnsi="Times New Roman" w:cs="Times New Roman"/>
          <w:color w:val="000000"/>
          <w:kern w:val="2"/>
          <w:sz w:val="24"/>
          <w:szCs w:val="24"/>
          <w14:ligatures w14:val="standardContextual"/>
        </w:rPr>
      </w:pPr>
    </w:p>
    <w:p w14:paraId="778C285E" w14:textId="77777777" w:rsidR="0085591A" w:rsidRPr="0085591A" w:rsidRDefault="0085591A" w:rsidP="0085591A">
      <w:pPr>
        <w:spacing w:after="0" w:line="240" w:lineRule="auto"/>
        <w:ind w:firstLine="567"/>
        <w:jc w:val="both"/>
        <w:rPr>
          <w:rFonts w:ascii="Times New Roman" w:eastAsia="Aptos" w:hAnsi="Times New Roman" w:cs="Times New Roman"/>
          <w:i/>
          <w:color w:val="000000"/>
          <w:kern w:val="2"/>
          <w:sz w:val="24"/>
          <w:szCs w:val="24"/>
          <w14:ligatures w14:val="standardContextual"/>
        </w:rPr>
      </w:pPr>
      <w:r w:rsidRPr="0085591A">
        <w:rPr>
          <w:rFonts w:ascii="Times New Roman" w:eastAsia="Aptos" w:hAnsi="Times New Roman" w:cs="Times New Roman"/>
          <w:i/>
          <w:color w:val="000000"/>
          <w:kern w:val="2"/>
          <w:sz w:val="24"/>
          <w:szCs w:val="24"/>
          <w14:ligatures w14:val="standardContextual"/>
        </w:rPr>
        <w:t>У разі, якщо у цій тендерній документації (у тому числі у технічній специфікації) міститься посилання на:</w:t>
      </w:r>
    </w:p>
    <w:p w14:paraId="56F59EA6" w14:textId="77777777" w:rsidR="0085591A" w:rsidRPr="0085591A" w:rsidRDefault="0085591A" w:rsidP="0085591A">
      <w:pPr>
        <w:spacing w:after="0" w:line="240" w:lineRule="auto"/>
        <w:ind w:firstLine="567"/>
        <w:jc w:val="both"/>
        <w:rPr>
          <w:rFonts w:ascii="Times New Roman" w:eastAsia="Aptos" w:hAnsi="Times New Roman" w:cs="Times New Roman"/>
          <w:i/>
          <w:color w:val="000000"/>
          <w:kern w:val="2"/>
          <w:sz w:val="24"/>
          <w:szCs w:val="24"/>
          <w14:ligatures w14:val="standardContextual"/>
        </w:rPr>
      </w:pPr>
      <w:r w:rsidRPr="0085591A">
        <w:rPr>
          <w:rFonts w:ascii="Times New Roman" w:eastAsia="Aptos" w:hAnsi="Times New Roman" w:cs="Times New Roman"/>
          <w:i/>
          <w:color w:val="000000"/>
          <w:kern w:val="2"/>
          <w:sz w:val="24"/>
          <w:szCs w:val="24"/>
          <w14:ligatures w14:val="standardContextual"/>
        </w:rPr>
        <w:t>стандартні характеристики, технічні регламенти й умови, вимоги, умовні позначення та термінологію, пов’язані з товарами, роботами чи послугами, що закуповуються, передбачені чинними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7D433ED" w14:textId="77777777" w:rsidR="0085591A" w:rsidRPr="0085591A" w:rsidRDefault="0085591A" w:rsidP="0085591A">
      <w:pPr>
        <w:spacing w:after="0" w:line="240" w:lineRule="auto"/>
        <w:ind w:firstLine="567"/>
        <w:jc w:val="both"/>
        <w:rPr>
          <w:rFonts w:ascii="Times New Roman" w:eastAsia="Aptos" w:hAnsi="Times New Roman" w:cs="Times New Roman"/>
          <w:i/>
          <w:color w:val="000000"/>
          <w:kern w:val="2"/>
          <w:sz w:val="24"/>
          <w:szCs w:val="24"/>
          <w14:ligatures w14:val="standardContextual"/>
        </w:rPr>
      </w:pPr>
      <w:r w:rsidRPr="0085591A">
        <w:rPr>
          <w:rFonts w:ascii="Times New Roman" w:eastAsia="Aptos" w:hAnsi="Times New Roman" w:cs="Times New Roman"/>
          <w:i/>
          <w:color w:val="000000"/>
          <w:kern w:val="2"/>
          <w:sz w:val="24"/>
          <w:szCs w:val="24"/>
          <w14:ligatures w14:val="standardContextual"/>
        </w:rPr>
        <w:t>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bookmarkEnd w:id="0"/>
      <w:bookmarkEnd w:id="3"/>
    </w:p>
    <w:p w14:paraId="2B05EB9A" w14:textId="77777777" w:rsidR="0085591A" w:rsidRPr="002F7B4B" w:rsidRDefault="0085591A" w:rsidP="002F7B4B">
      <w:pPr>
        <w:spacing w:after="0" w:line="240" w:lineRule="auto"/>
        <w:ind w:firstLine="567"/>
        <w:jc w:val="both"/>
        <w:rPr>
          <w:rFonts w:ascii="Times New Roman" w:hAnsi="Times New Roman" w:cs="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3E7F6EB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5591A">
        <w:rPr>
          <w:rFonts w:ascii="Times New Roman" w:eastAsia="Times New Roman" w:hAnsi="Times New Roman" w:cs="Times New Roman"/>
          <w:sz w:val="24"/>
          <w:szCs w:val="24"/>
          <w:lang w:eastAsia="ru-RU"/>
        </w:rPr>
        <w:t>1 845</w:t>
      </w:r>
      <w:r w:rsidR="002F7B4B">
        <w:rPr>
          <w:rFonts w:ascii="Times New Roman" w:eastAsia="Times New Roman" w:hAnsi="Times New Roman" w:cs="Times New Roman"/>
          <w:sz w:val="24"/>
          <w:szCs w:val="24"/>
          <w:lang w:eastAsia="ru-RU"/>
        </w:rPr>
        <w:t>,00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5591A">
        <w:rPr>
          <w:rFonts w:ascii="Times New Roman" w:eastAsia="Times New Roman" w:hAnsi="Times New Roman" w:cs="Times New Roman"/>
          <w:sz w:val="24"/>
          <w:szCs w:val="24"/>
          <w:lang w:eastAsia="ru-RU"/>
        </w:rPr>
        <w:t>одна тисяча вісімсот сорок п’ять</w:t>
      </w:r>
      <w:r w:rsidR="001D46A6">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lastRenderedPageBreak/>
        <w:t>гривень</w:t>
      </w:r>
      <w:r w:rsidR="000435EB">
        <w:rPr>
          <w:rFonts w:ascii="Times New Roman" w:eastAsia="Times New Roman" w:hAnsi="Times New Roman" w:cs="Times New Roman"/>
          <w:sz w:val="24"/>
          <w:szCs w:val="24"/>
          <w:lang w:eastAsia="ru-RU"/>
        </w:rPr>
        <w:t xml:space="preserve"> </w:t>
      </w:r>
      <w:r w:rsidR="002F7B4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774C8F8E"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r w:rsidR="0085591A">
        <w:rPr>
          <w:rFonts w:ascii="Times New Roman" w:eastAsia="Times New Roman" w:hAnsi="Times New Roman" w:cs="Times New Roman"/>
          <w:sz w:val="24"/>
          <w:szCs w:val="24"/>
          <w:lang w:eastAsia="ru-RU"/>
        </w:rPr>
        <w:t xml:space="preserve"> з урахуванням наказу ДУ ЦІТ МВС України від 10.09.2025 №300.</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0F5A85"/>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20AB8"/>
    <w:rsid w:val="002352AF"/>
    <w:rsid w:val="00245020"/>
    <w:rsid w:val="002924C8"/>
    <w:rsid w:val="00295ECA"/>
    <w:rsid w:val="002D01D5"/>
    <w:rsid w:val="002D4BAA"/>
    <w:rsid w:val="002F7B4B"/>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4267"/>
    <w:rsid w:val="0064697A"/>
    <w:rsid w:val="0066055B"/>
    <w:rsid w:val="00662596"/>
    <w:rsid w:val="00672B6A"/>
    <w:rsid w:val="006900D6"/>
    <w:rsid w:val="006A1D09"/>
    <w:rsid w:val="006A294A"/>
    <w:rsid w:val="006A43A6"/>
    <w:rsid w:val="006A59A3"/>
    <w:rsid w:val="006B0A81"/>
    <w:rsid w:val="006D4F36"/>
    <w:rsid w:val="006E3BAE"/>
    <w:rsid w:val="007005BD"/>
    <w:rsid w:val="00710189"/>
    <w:rsid w:val="007136CE"/>
    <w:rsid w:val="00733EFC"/>
    <w:rsid w:val="00752081"/>
    <w:rsid w:val="00766AB0"/>
    <w:rsid w:val="007B112D"/>
    <w:rsid w:val="007C71D4"/>
    <w:rsid w:val="007E7B59"/>
    <w:rsid w:val="008016BE"/>
    <w:rsid w:val="00811CA9"/>
    <w:rsid w:val="00835C9C"/>
    <w:rsid w:val="008404B8"/>
    <w:rsid w:val="008471EC"/>
    <w:rsid w:val="0084770C"/>
    <w:rsid w:val="0085591A"/>
    <w:rsid w:val="008909A3"/>
    <w:rsid w:val="008D4BA3"/>
    <w:rsid w:val="008F6ABC"/>
    <w:rsid w:val="00920A2E"/>
    <w:rsid w:val="0094712E"/>
    <w:rsid w:val="009656F2"/>
    <w:rsid w:val="009A3150"/>
    <w:rsid w:val="009D1AE9"/>
    <w:rsid w:val="009D2593"/>
    <w:rsid w:val="009E6A7C"/>
    <w:rsid w:val="00A15F47"/>
    <w:rsid w:val="00A20E61"/>
    <w:rsid w:val="00A52138"/>
    <w:rsid w:val="00AC0933"/>
    <w:rsid w:val="00AC6621"/>
    <w:rsid w:val="00AF3F5D"/>
    <w:rsid w:val="00B0193C"/>
    <w:rsid w:val="00B02667"/>
    <w:rsid w:val="00B05D8C"/>
    <w:rsid w:val="00B10F8D"/>
    <w:rsid w:val="00B2511F"/>
    <w:rsid w:val="00B50719"/>
    <w:rsid w:val="00B56048"/>
    <w:rsid w:val="00B873C2"/>
    <w:rsid w:val="00B95801"/>
    <w:rsid w:val="00BA2C84"/>
    <w:rsid w:val="00BA612B"/>
    <w:rsid w:val="00BD1F30"/>
    <w:rsid w:val="00BE44D5"/>
    <w:rsid w:val="00BE5D0B"/>
    <w:rsid w:val="00C65313"/>
    <w:rsid w:val="00C6694F"/>
    <w:rsid w:val="00C66F3C"/>
    <w:rsid w:val="00C92558"/>
    <w:rsid w:val="00CC015E"/>
    <w:rsid w:val="00CC0C05"/>
    <w:rsid w:val="00CD0EC0"/>
    <w:rsid w:val="00CD210E"/>
    <w:rsid w:val="00CD40DE"/>
    <w:rsid w:val="00CF3B29"/>
    <w:rsid w:val="00D13D9F"/>
    <w:rsid w:val="00D274F4"/>
    <w:rsid w:val="00D42EB8"/>
    <w:rsid w:val="00D66E58"/>
    <w:rsid w:val="00D824DB"/>
    <w:rsid w:val="00D828A4"/>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3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885</Words>
  <Characters>6179</Characters>
  <Application>Microsoft Office Word</Application>
  <DocSecurity>0</DocSecurity>
  <Lines>147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2025-09-25T10:28:00Z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