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1"/>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антивірусної програмної продукції для захисту робочих місць користувачів за ДК 021:2015: 48760000-3 Пакети програмного забезпечення для захисту від вірусів</w:t>
      </w:r>
      <w:r>
        <w:rPr>
          <w:b w:val="0"/>
          <w:bCs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5710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антивірусної програмної продукції для захисту робочих місць користувачів за ДК 021:2015: 48760000-3 Пакети програмного забезпечення для захисту від вірусів.</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679"/>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681"/>
              <w:jc w:val="center"/>
              <w:rPr>
                <w:rFonts w:eastAsia="Times New Roman"/>
                <w:b/>
                <w:bCs/>
                <w:lang w:val="ru-RU"/>
              </w:rPr>
            </w:pPr>
            <w:r>
              <w:rPr>
                <w:rFonts w:eastAsia="Times New Roman"/>
                <w:b/>
                <w:bCs/>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1"/>
              <w:jc w:val="center"/>
              <w:rPr>
                <w:rFonts w:eastAsia="Times New Roman"/>
                <w:b/>
                <w:bCs/>
              </w:rPr>
            </w:pPr>
            <w:r>
              <w:rPr>
                <w:rFonts w:eastAsia="Times New Roman"/>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1"/>
              <w:jc w:val="center"/>
              <w:rPr>
                <w:rFonts w:eastAsia="Times New Roman"/>
                <w:b/>
                <w:bCs/>
              </w:rPr>
            </w:pPr>
            <w:r>
              <w:rPr>
                <w:rFonts w:eastAsia="Times New Roman"/>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681"/>
              <w:jc w:val="center"/>
              <w:rPr>
                <w:rFonts w:eastAsia="Times New Roman"/>
                <w:b/>
                <w:bCs/>
              </w:rPr>
            </w:pPr>
            <w:r>
              <w:rPr>
                <w:rFonts w:eastAsia="Times New Roman"/>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681"/>
              <w:jc w:val="center"/>
              <w:rPr>
                <w:rFonts w:eastAsia="Times New Roman"/>
              </w:rPr>
            </w:pPr>
            <w:r>
              <w:rPr>
                <w:rFonts w:eastAsia="Times New Roman"/>
                <w:b/>
                <w:bCs/>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681"/>
              <w:rPr>
                <w:rFonts w:eastAsia="Times New Roman"/>
                <w:b/>
                <w:bCs/>
                <w:sz w:val="22"/>
                <w:szCs w:val="22"/>
                <w:lang w:val="ru-RU"/>
              </w:rPr>
            </w:pPr>
            <w:r>
              <w:rPr>
                <w:rFonts w:eastAsia="Times New Roman"/>
                <w:b/>
                <w:bCs/>
                <w:color w:val="000000"/>
              </w:rPr>
              <w:t xml:space="preserve">Програмна продукція 'ESET PROTECT </w:t>
            </w:r>
            <w:r>
              <w:rPr>
                <w:rFonts w:eastAsia="Times New Roman"/>
                <w:b/>
                <w:bCs/>
                <w:color w:val="000000"/>
              </w:rPr>
              <w:t xml:space="preserve">Entry</w:t>
            </w:r>
            <w:r>
              <w:rPr>
                <w:rFonts w:eastAsia="Times New Roman"/>
                <w:b/>
                <w:bCs/>
                <w:color w:val="000000"/>
              </w:rPr>
              <w:t xml:space="preserve"> з локальним управлінням' (B11). На 1 рік. Пільгова. Для захисту 15 об'єктів.</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1"/>
              <w:jc w:val="center"/>
              <w:rPr>
                <w:rFonts w:eastAsia="Times New Roman"/>
              </w:rPr>
            </w:pPr>
            <w:r>
              <w:rPr>
                <w:rFonts w:eastAsia="Times New Roman"/>
                <w:b/>
                <w:bCs/>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681"/>
              <w:jc w:val="center"/>
              <w:rPr>
                <w:rFonts w:eastAsia="Times New Roman"/>
                <w:b/>
                <w:bCs/>
              </w:rPr>
            </w:pPr>
            <w:r>
              <w:rPr>
                <w:rFonts w:eastAsia="Times New Roman"/>
                <w:b/>
                <w:bCs/>
              </w:rPr>
              <w:t xml:space="preserve">1</w:t>
            </w:r>
            <w:r/>
          </w:p>
        </w:tc>
      </w:tr>
    </w:tbl>
    <w:p>
      <w:pPr>
        <w:pStyle w:val="681"/>
        <w:jc w:val="both"/>
        <w:rPr>
          <w:rFonts w:eastAsia="Times New Roman"/>
          <w:b/>
          <w:bCs/>
          <w:i/>
          <w:iCs/>
          <w:lang w:eastAsia="ru-RU"/>
        </w:rPr>
      </w:pPr>
      <w:r>
        <w:rPr>
          <w:rFonts w:eastAsia="Times New Roman"/>
          <w:b/>
          <w:bCs/>
          <w:i/>
          <w:iCs/>
          <w:lang w:eastAsia="ru-RU"/>
        </w:rPr>
      </w:r>
      <w:r/>
    </w:p>
    <w:p>
      <w:pPr>
        <w:pStyle w:val="681"/>
        <w:jc w:val="both"/>
        <w:spacing w:after="0" w:line="240" w:lineRule="auto"/>
        <w:rPr>
          <w:rFonts w:eastAsia="Times New Roman"/>
          <w:b/>
          <w:bCs/>
          <w:i/>
          <w:iCs/>
          <w:lang w:eastAsia="ru-RU"/>
        </w:rPr>
      </w:pPr>
      <w:r>
        <w:rPr>
          <w:rFonts w:eastAsia="Times New Roman"/>
          <w:b/>
          <w:bCs/>
          <w:i/>
          <w:iCs/>
          <w:lang w:eastAsia="ru-RU"/>
        </w:rPr>
        <w:t xml:space="preserve">У ціну мають бути включені прямі, загальновиробничі та адміністративні витрати з урахуванням витрат, у тому ч</w:t>
      </w:r>
      <w:r>
        <w:rPr>
          <w:rFonts w:eastAsia="Times New Roman"/>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eastAsia="Times New Roman"/>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eastAsia="Times New Roman"/>
          <w:b/>
          <w:bCs/>
          <w:i/>
          <w:iCs/>
          <w:lang w:eastAsia="ru-RU"/>
        </w:rPr>
        <w:t xml:space="preserve">проєкту</w:t>
      </w:r>
      <w:r>
        <w:rPr>
          <w:rFonts w:eastAsia="Times New Roman"/>
          <w:b/>
          <w:bCs/>
          <w:i/>
          <w:iCs/>
          <w:lang w:eastAsia="ru-RU"/>
        </w:rPr>
        <w:t xml:space="preserve"> Договору до моменту його повного завершення.</w:t>
      </w:r>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rPr>
        <w:t xml:space="preserve">8. Учасник повинен у складі своєї Пропозиції надати </w:t>
      </w:r>
      <w:r>
        <w:rPr>
          <w:rFonts w:ascii="Times New Roman" w:hAnsi="Times New Roman" w:eastAsia="Calibri" w:cs="Times New Roman"/>
          <w:sz w:val="24"/>
          <w:szCs w:val="24"/>
        </w:rPr>
        <w:t xml:space="preserve">авторизаційний</w:t>
      </w:r>
      <w:r>
        <w:rPr>
          <w:rFonts w:ascii="Times New Roman" w:hAnsi="Times New Roman" w:eastAsia="Calibri" w:cs="Times New Roman"/>
          <w:sz w:val="24"/>
          <w:szCs w:val="24"/>
        </w:rPr>
        <w:t xml:space="preserve"> лист від виробника або офіційного представника виробника в Україні, </w:t>
      </w:r>
      <w:r>
        <w:rPr>
          <w:rFonts w:ascii="Times New Roman" w:hAnsi="Times New Roman" w:eastAsia="Calibri" w:cs="Times New Roman"/>
          <w:sz w:val="24"/>
          <w:szCs w:val="24"/>
        </w:rPr>
        <w:t xml:space="preserve">що підтверджує наявність партнерських відносин Учасника з компанією-виробником або офіційним представником виробника в Україні та уповноважує Учасника надавати цінові пропозиції, проводити переговори і підписувати Договір з Замовником на поставку Продукту.</w:t>
      </w:r>
      <w:r/>
    </w:p>
    <w:p>
      <w:pPr>
        <w:ind w:right="45"/>
        <w:jc w:val="both"/>
        <w:spacing w:after="0" w:line="240" w:lineRule="auto"/>
        <w:tabs>
          <w:tab w:val="left" w:pos="851" w:leader="none"/>
          <w:tab w:val="left" w:pos="993" w:leader="none"/>
        </w:tabs>
        <w:rPr>
          <w:rFonts w:ascii="Times New Roman" w:hAnsi="Times New Roman" w:eastAsia="Times New Roman" w:cs="Times New Roman"/>
          <w:color w:val="000000"/>
          <w:sz w:val="24"/>
          <w:szCs w:val="24"/>
          <w:lang w:eastAsia="uk-UA"/>
        </w:rPr>
      </w:pPr>
      <w:r>
        <w:rPr>
          <w:rFonts w:ascii="Times New Roman" w:hAnsi="Times New Roman" w:eastAsia="Calibri" w:cs="Times New Roman"/>
          <w:sz w:val="24"/>
          <w:szCs w:val="24"/>
        </w:rPr>
        <w:t xml:space="preserve">9. Учасник повинен у складі своєї Пропозиції надати</w:t>
      </w:r>
      <w:r>
        <w:rPr>
          <w:rFonts w:ascii="Times New Roman" w:hAnsi="Times New Roman" w:cs="Times New Roman"/>
          <w:color w:val="000000"/>
          <w:sz w:val="24"/>
          <w:szCs w:val="24"/>
          <w:lang w:eastAsia="uk-UA"/>
        </w:rPr>
        <w:t xml:space="preserve"> копії відповідних висновків Державної служби спеціального зв’язку та захисту інформації України, що засвідчують відповідність запропонованих програмних продуктів вимогам нормативних документів системи технічного захисту інформації в Україні.</w:t>
      </w:r>
      <w:r/>
    </w:p>
    <w:p>
      <w:p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681"/>
        <w:jc w:val="both"/>
        <w:spacing w:after="0" w:line="240" w:lineRule="auto"/>
        <w:rPr>
          <w:rStyle w:val="703"/>
        </w:rPr>
      </w:pPr>
      <w:r/>
      <w:r/>
    </w:p>
    <w:p>
      <w:pPr>
        <w:contextualSpacing/>
        <w:ind w:left="14" w:firstLine="538"/>
        <w:jc w:val="center"/>
        <w:spacing w:after="0" w:line="240" w:lineRule="auto"/>
        <w:rPr>
          <w:rFonts w:ascii="Times New Roman" w:hAnsi="Times New Roman" w:eastAsia="Times New Roman" w:cs="Times New Roman"/>
          <w:b/>
          <w:bCs/>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677"/>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ind w:firstLine="709"/>
        <w:jc w:val="both"/>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rPr>
        <w:t xml:space="preserve">Програмні продукти, що входять до запропонованого рішення повинні мати діючі позитивні експертні висновки ДССЗЗІ.</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Запропоноване </w:t>
      </w:r>
      <w:bookmarkStart w:id="0" w:name="_Hlk144805077"/>
      <w:r>
        <w:rPr>
          <w:rFonts w:ascii="Times New Roman" w:hAnsi="Times New Roman" w:eastAsia="Calibri" w:cs="Times New Roman"/>
          <w:sz w:val="24"/>
          <w:szCs w:val="24"/>
        </w:rPr>
        <w:t xml:space="preserve">програмне забезпечення </w:t>
      </w:r>
      <w:bookmarkEnd w:id="0"/>
      <w:r>
        <w:rPr>
          <w:rFonts w:ascii="Times New Roman" w:hAnsi="Times New Roman" w:eastAsia="Calibri" w:cs="Times New Roman"/>
          <w:sz w:val="24"/>
          <w:szCs w:val="24"/>
        </w:rPr>
        <w:t xml:space="preserve">повинно мати на території України центр технічної підтримки, що авторизований виробником. Технічна підтримка повинна відповідати наступним вимогам: </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обслуговування 24х7х365 - 24 години на добу, 7 днів на тиждень, 365 днів на рік, включаючи святкові, вихідні та неробочі дні, цілодобово; </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розширені технічні</w:t>
      </w:r>
      <w:r>
        <w:rPr>
          <w:rFonts w:ascii="Times New Roman" w:hAnsi="Times New Roman" w:eastAsia="Calibri" w:cs="Times New Roman"/>
          <w:sz w:val="24"/>
          <w:szCs w:val="24"/>
        </w:rPr>
        <w:t xml:space="preserve"> консультації з питань конфігурації та функціонування антивірусного програмного забезпечення по телефону (з можливістю зв’язку з технічними спеціалістами по місцевому  телефону без використання послуг міжнародного телефонного зв'язку) та електронній пошті;</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виїзд інженера на місце розташування Замовника у випадках збоїв роботи антивірусного програмного забезпечення.</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Також запропоноване програмне забезпечення повинно відповідати наведеним нижче технічним вимогам:</w:t>
      </w:r>
      <w:r/>
    </w:p>
    <w:tbl>
      <w:tblPr>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2"/>
        <w:gridCol w:w="2973"/>
        <w:gridCol w:w="6434"/>
      </w:tblGrid>
      <w:tr>
        <w:trPr>
          <w:tblHeade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cs="Times New Roman"/>
                <w:b/>
                <w:sz w:val="24"/>
                <w:szCs w:val="24"/>
              </w:rPr>
              <w:t xml:space="preserve">№ п/п</w:t>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Функціонал захисту робочої станції</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Вимоги</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Встановлення </w:t>
            </w:r>
            <w:bookmarkStart w:id="1" w:name="_Hlk144804987"/>
            <w:r>
              <w:rPr>
                <w:rFonts w:ascii="Times New Roman" w:hAnsi="Times New Roman" w:cs="Times New Roman"/>
                <w:bCs/>
                <w:color w:val="000000"/>
                <w:sz w:val="24"/>
                <w:szCs w:val="24"/>
              </w:rPr>
              <w:t xml:space="preserve">програмного забезпечення </w:t>
            </w:r>
            <w:bookmarkEnd w:id="1"/>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2"/>
              </w:numPr>
              <w:ind w:left="223" w:hanging="142"/>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окремий інсталяційний пакет, який дозволяє встановлювати клієнта у “ручному” режимі.</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Здійснення антивірусного захисту</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за розкладом і на вимогу за допомогою антивірусних баз даних;</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 режимі реального часу;</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сканування файлів під час запуску системи;</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захисту документів Microsoft Office, що дає можливість перевіряти макроси на наявність зловмисного коду;</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комп'ютера у неактивному стані;</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в оперативній пам’яті об’єктів, що знаходяться у запакованому стані;</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архівів;</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евристичний аналізатор;</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шпигунського ПЗ;</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w:t>
            </w:r>
            <w:r>
              <w:rPr>
                <w:rFonts w:ascii="Times New Roman" w:hAnsi="Times New Roman" w:cs="Times New Roman"/>
                <w:sz w:val="24"/>
                <w:szCs w:val="24"/>
              </w:rPr>
              <w:t xml:space="preserve">руткитів</w:t>
            </w:r>
            <w:r>
              <w:rPr>
                <w:rFonts w:ascii="Times New Roman" w:hAnsi="Times New Roman" w:cs="Times New Roman"/>
                <w:sz w:val="24"/>
                <w:szCs w:val="24"/>
              </w:rPr>
              <w:t xml:space="preserve">;</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скриптів;</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від </w:t>
            </w:r>
            <w:r>
              <w:rPr>
                <w:rFonts w:ascii="Times New Roman" w:hAnsi="Times New Roman" w:cs="Times New Roman"/>
                <w:sz w:val="24"/>
                <w:szCs w:val="24"/>
              </w:rPr>
              <w:t xml:space="preserve">експлойтів</w:t>
            </w:r>
            <w:r>
              <w:rPr>
                <w:rFonts w:ascii="Times New Roman" w:hAnsi="Times New Roman" w:cs="Times New Roman"/>
                <w:sz w:val="24"/>
                <w:szCs w:val="24"/>
              </w:rPr>
              <w:t xml:space="preserve">, який забезпечує захист від загроз, здатних використовувати уразливості </w:t>
            </w:r>
            <w:r>
              <w:rPr>
                <w:rFonts w:ascii="Times New Roman" w:hAnsi="Times New Roman" w:cs="Times New Roman"/>
                <w:sz w:val="24"/>
                <w:szCs w:val="24"/>
              </w:rPr>
              <w:t xml:space="preserve">Java</w:t>
            </w:r>
            <w:r>
              <w:rPr>
                <w:rFonts w:ascii="Times New Roman" w:hAnsi="Times New Roman" w:cs="Times New Roman"/>
                <w:sz w:val="24"/>
                <w:szCs w:val="24"/>
              </w:rPr>
              <w:t xml:space="preserve">, </w:t>
            </w:r>
            <w:r>
              <w:rPr>
                <w:rFonts w:ascii="Times New Roman" w:hAnsi="Times New Roman" w:cs="Times New Roman"/>
                <w:sz w:val="24"/>
                <w:szCs w:val="24"/>
              </w:rPr>
              <w:t xml:space="preserve">Flash</w:t>
            </w:r>
            <w:r>
              <w:rPr>
                <w:rFonts w:ascii="Times New Roman" w:hAnsi="Times New Roman" w:cs="Times New Roman"/>
                <w:sz w:val="24"/>
                <w:szCs w:val="24"/>
              </w:rPr>
              <w:t xml:space="preserve"> та інших додатків.</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мережевого захисту</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персонального брандмауера, який містить в собі майстер для створення правил брандмауера та редактор зон та правил;</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системи виявлення вторгнень (IDS) з метою виявлення різних типів можливих мережевих атак на комп’ютер;</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технології, яка забезпечує захист від загроз типу "</w:t>
            </w:r>
            <w:r>
              <w:rPr>
                <w:rFonts w:ascii="Times New Roman" w:hAnsi="Times New Roman" w:cs="Times New Roman"/>
                <w:sz w:val="24"/>
                <w:szCs w:val="24"/>
              </w:rPr>
              <w:t xml:space="preserve">ботнет</w:t>
            </w:r>
            <w:r>
              <w:rPr>
                <w:rFonts w:ascii="Times New Roman" w:hAnsi="Times New Roman" w:cs="Times New Roman"/>
                <w:sz w:val="24"/>
                <w:szCs w:val="24"/>
              </w:rPr>
              <w:t xml:space="preserve">";</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w:t>
            </w:r>
            <w:r>
              <w:rPr>
                <w:rFonts w:ascii="Times New Roman" w:hAnsi="Times New Roman" w:cs="Times New Roman"/>
                <w:sz w:val="24"/>
                <w:szCs w:val="24"/>
              </w:rPr>
              <w:t xml:space="preserve">уразливостей</w:t>
            </w:r>
            <w:r>
              <w:rPr>
                <w:rFonts w:ascii="Times New Roman" w:hAnsi="Times New Roman" w:cs="Times New Roman"/>
                <w:sz w:val="24"/>
                <w:szCs w:val="24"/>
              </w:rPr>
              <w:t xml:space="preserve"> мережевого протоколу, що покращує виявлення загроз, які використовують недоліки мережевих протоколів, таких як SMB, RPC, RDP тощо.</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електронної пошти</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поштового трафіку  (POP3, POP3S, SMTP, IMAP та IMAPS);</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поштових вкладень та захист від спаму;</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автоматично видаляти або переміщувати заражену пошту до вказаного каталогу у поштовому клієнті.</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модуля захисту від спаму (власної розробки) з можливістю інтеграції до поштового клієнту. Можливість використовувати білі та чорні списки як </w:t>
            </w:r>
            <w:r>
              <w:rPr>
                <w:rFonts w:ascii="Times New Roman" w:hAnsi="Times New Roman" w:cs="Times New Roman"/>
                <w:sz w:val="24"/>
                <w:szCs w:val="24"/>
              </w:rPr>
              <w:t xml:space="preserve">користувальницькі, так і глобальні, інформація до яких надходить з серверів оновлення.</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у </w:t>
            </w:r>
            <w:r>
              <w:rPr>
                <w:rFonts w:ascii="Times New Roman" w:hAnsi="Times New Roman" w:cs="Times New Roman"/>
                <w:sz w:val="24"/>
                <w:szCs w:val="24"/>
              </w:rPr>
              <w:t xml:space="preserve">Web</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HTTP, HTTPS трафіку;</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та блокування доступу до небезпечних сайтів;</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дозволених\заборонених\ виключених з перевірки переліків сайтів;</w:t>
            </w:r>
            <w:r/>
          </w:p>
          <w:p>
            <w:pPr>
              <w:numPr>
                <w:ilvl w:val="0"/>
                <w:numId w:val="5"/>
              </w:numPr>
              <w:ind w:left="223" w:right="-108" w:hanging="223"/>
              <w:spacing w:after="0" w:line="240" w:lineRule="auto"/>
              <w:tabs>
                <w:tab w:val="left" w:pos="223" w:leader="none"/>
              </w:tabs>
              <w:rPr>
                <w:rFonts w:ascii="Times New Roman" w:hAnsi="Times New Roman" w:cs="Times New Roman"/>
                <w:sz w:val="24"/>
                <w:szCs w:val="24"/>
              </w:rPr>
            </w:pPr>
            <w:r>
              <w:rPr>
                <w:rFonts w:ascii="Times New Roman" w:hAnsi="Times New Roman" w:cs="Times New Roman"/>
                <w:sz w:val="24"/>
                <w:szCs w:val="24"/>
              </w:rPr>
              <w:t xml:space="preserve">наявність модуля веб-контролю, що дає можливість обмежувати  доступ до</w:t>
            </w:r>
            <w:r>
              <w:rPr>
                <w:rFonts w:ascii="Times New Roman" w:hAnsi="Times New Roman" w:cs="Times New Roman"/>
                <w:sz w:val="24"/>
                <w:szCs w:val="24"/>
              </w:rPr>
              <w:t xml:space="preserve"> певних категорій сайтів. Наявність більше 25 категорій фільтрації, в яких розподілені більш ніж 100 підкатегорій. Можливість створювати групи з категорій та підкатегорій. Можливість створювати правила фільтрації для різних користувачів та груп ОС Windows;</w:t>
            </w:r>
            <w:r/>
          </w:p>
          <w:p>
            <w:pPr>
              <w:numPr>
                <w:ilvl w:val="0"/>
                <w:numId w:val="5"/>
              </w:numPr>
              <w:ind w:left="223" w:hanging="223"/>
              <w:spacing w:after="0" w:line="240" w:lineRule="auto"/>
              <w:tabs>
                <w:tab w:val="left" w:pos="223" w:leader="none"/>
              </w:tabs>
              <w:rPr>
                <w:rFonts w:ascii="Times New Roman" w:hAnsi="Times New Roman" w:cs="Times New Roman"/>
                <w:sz w:val="24"/>
                <w:szCs w:val="24"/>
              </w:rPr>
            </w:pPr>
            <w:r>
              <w:rPr>
                <w:rFonts w:ascii="Times New Roman" w:hAnsi="Times New Roman" w:cs="Times New Roman"/>
                <w:sz w:val="24"/>
                <w:szCs w:val="24"/>
              </w:rPr>
              <w:t xml:space="preserve">можливість блокувати завантаження з Інтернету файлів за вказаним розширенням.</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w:t>
            </w:r>
            <w:r>
              <w:rPr>
                <w:rFonts w:ascii="Times New Roman" w:hAnsi="Times New Roman" w:cs="Times New Roman"/>
                <w:sz w:val="24"/>
                <w:szCs w:val="24"/>
              </w:rPr>
              <w:t xml:space="preserve">проактивного</w:t>
            </w:r>
            <w:r>
              <w:rPr>
                <w:rFonts w:ascii="Times New Roman" w:hAnsi="Times New Roman" w:cs="Times New Roman"/>
                <w:sz w:val="24"/>
                <w:szCs w:val="24"/>
              </w:rPr>
              <w:t xml:space="preserve"> захисту</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троянського ПЗ;</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клавіатурних шпигунів;</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рекламного ПЗ;</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w:t>
            </w:r>
            <w:r>
              <w:rPr>
                <w:rFonts w:ascii="Times New Roman" w:hAnsi="Times New Roman" w:cs="Times New Roman"/>
                <w:sz w:val="24"/>
                <w:szCs w:val="24"/>
              </w:rPr>
              <w:t xml:space="preserve">фішингу</w:t>
            </w:r>
            <w:r>
              <w:rPr>
                <w:rFonts w:ascii="Times New Roman" w:hAnsi="Times New Roman" w:cs="Times New Roman"/>
                <w:sz w:val="24"/>
                <w:szCs w:val="24"/>
              </w:rPr>
              <w:t xml:space="preserve">;</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системи виявлення вторгнень  (HIPS), яка захищає комп’ютер від шкідливих програм і небажаної активності (наявність функціоналу </w:t>
            </w:r>
            <w:r>
              <w:rPr>
                <w:rFonts w:ascii="Times New Roman" w:hAnsi="Times New Roman" w:cs="Times New Roman"/>
                <w:sz w:val="24"/>
                <w:szCs w:val="24"/>
              </w:rPr>
              <w:t xml:space="preserve">майстера</w:t>
            </w:r>
            <w:r>
              <w:rPr>
                <w:rFonts w:ascii="Times New Roman" w:hAnsi="Times New Roman" w:cs="Times New Roman"/>
                <w:sz w:val="24"/>
                <w:szCs w:val="24"/>
              </w:rPr>
              <w:t xml:space="preserve"> для створення та редагування правил для контролю запущених процесів, використовуваних файлів та розділів реєстру.</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контролю за використанням зовнішніх пристроїв та змінних носіїв</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автоматична антивірусна перевірка змінних носіїв;</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керування доступом до зовнішніх пристроїв;</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підключення до робочої станції периферійних пристроїв та змінних носіїв шляхом створення правил доступу за типом пристрою, за рівнем доступу, за виробником, моделлю або серійним номером пристрою тощо.</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Здійснення оновлень</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часті та невеликі за об'ємом оновлення, відновлення завантаження оновлень після обриву зв'язку;</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мобільним співробітникам отримати оновлення з серверів виробника он-лайн у разі перебування поза корпоративною мережею;</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дзеркала оновлень засобами антивірусного ПЗ;</w:t>
            </w:r>
            <w:r/>
          </w:p>
          <w:p>
            <w:pPr>
              <w:numPr>
                <w:ilvl w:val="0"/>
                <w:numId w:val="7"/>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оновлень в центрі антивірусного захисту інформації Державної служби спеціального зв’язку та захисту інформації.</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Вимоги до віддаленого управління</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7"/>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w:t>
            </w:r>
            <w:r/>
          </w:p>
        </w:tc>
      </w:tr>
      <w:tr>
        <w:trPr/>
        <w:tc>
          <w:tcPr>
            <w:tcBorders>
              <w:top w:val="single" w:color="auto" w:sz="4" w:space="0"/>
              <w:left w:val="single" w:color="auto" w:sz="4" w:space="0"/>
              <w:bottom w:val="single" w:color="auto" w:sz="4" w:space="0"/>
              <w:right w:val="single" w:color="auto" w:sz="4" w:space="0"/>
            </w:tcBorders>
            <w:tcW w:w="942" w:type="dxa"/>
            <w:textDirection w:val="lrTb"/>
            <w:noWrap w:val="false"/>
          </w:tcPr>
          <w:p>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Операційні системи, які підтримуються </w:t>
            </w:r>
            <w:r/>
          </w:p>
        </w:tc>
        <w:tc>
          <w:tcPr>
            <w:tcBorders>
              <w:top w:val="single" w:color="auto" w:sz="4" w:space="0"/>
              <w:left w:val="single" w:color="auto" w:sz="4" w:space="0"/>
              <w:bottom w:val="single" w:color="auto" w:sz="4" w:space="0"/>
              <w:right w:val="single" w:color="auto" w:sz="4" w:space="0"/>
            </w:tcBorders>
            <w:tcW w:w="6434" w:type="dxa"/>
            <w:textDirection w:val="lrTb"/>
            <w:noWrap w:val="false"/>
          </w:tcPr>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XP Professional (SP3 та вище);</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Vista (Professional або вище);</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7 (Professional або вище);</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10.</w:t>
            </w:r>
            <w:r/>
          </w:p>
        </w:tc>
      </w:tr>
    </w:tbl>
    <w:p>
      <w:pPr>
        <w:jc w:val="both"/>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Антивірусне програмне забезпечення для захисту файлових серверів повинно відповідати наступним обов’язковим функціональним вимогам: </w:t>
      </w: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10"/>
        <w:gridCol w:w="2973"/>
        <w:gridCol w:w="5964"/>
      </w:tblGrid>
      <w:tr>
        <w:trPr>
          <w:tblHeade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jc w:val="center"/>
              <w:spacing w:after="0" w:line="240" w:lineRule="auto"/>
              <w:rPr>
                <w:rFonts w:ascii="Times New Roman" w:hAnsi="Times New Roman" w:eastAsia="Times New Roman" w:cs="Times New Roman"/>
                <w:sz w:val="24"/>
                <w:szCs w:val="24"/>
                <w:lang w:eastAsia="ru-RU"/>
              </w:rPr>
            </w:pPr>
            <w:r>
              <w:rPr>
                <w:rFonts w:ascii="Times New Roman" w:hAnsi="Times New Roman" w:cs="Times New Roman"/>
                <w:b/>
                <w:sz w:val="24"/>
                <w:szCs w:val="24"/>
              </w:rPr>
              <w:t xml:space="preserve">№ п/п</w:t>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Функціонал захисту файлового серверу</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Вимоги</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Встановлення програмного </w:t>
            </w:r>
            <w:r/>
          </w:p>
          <w:p>
            <w:pPr>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забезпечення </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2"/>
              </w:numPr>
              <w:ind w:left="223" w:hanging="142"/>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окремий інсталяційний пакет, який дозволяє встановлювати клієнта у “ручному” режимі.</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Автоматичні виключення</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2"/>
              </w:numPr>
              <w:ind w:left="223" w:hanging="142"/>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в залежності від ролей сервера, виключення для специфічних файлів, папок і програм.</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в кластерних системах</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2"/>
              </w:numPr>
              <w:ind w:left="223" w:hanging="142"/>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можливість роботи в кластерах як домена так і робочої групи.</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у режимі серверу терміналів</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2"/>
              </w:numPr>
              <w:ind w:left="223" w:hanging="142"/>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можливість налаштовувати режим запуску шляхом відключення графічного інтерфейсу для термінальних користувачів.</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w:t>
            </w:r>
            <w:r>
              <w:rPr>
                <w:rFonts w:ascii="Times New Roman" w:hAnsi="Times New Roman" w:cs="Times New Roman"/>
                <w:sz w:val="24"/>
                <w:szCs w:val="24"/>
              </w:rPr>
              <w:t xml:space="preserve">Hyper</w:t>
            </w:r>
            <w:r>
              <w:rPr>
                <w:rFonts w:ascii="Times New Roman" w:hAnsi="Times New Roman" w:cs="Times New Roman"/>
                <w:sz w:val="24"/>
                <w:szCs w:val="24"/>
              </w:rPr>
              <w:t xml:space="preserve">-V</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2"/>
              </w:numPr>
              <w:ind w:left="223" w:hanging="142"/>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 xml:space="preserve">сканування дисків сервера Microsoft </w:t>
            </w:r>
            <w:r>
              <w:rPr>
                <w:rFonts w:ascii="Times New Roman" w:hAnsi="Times New Roman" w:cs="Times New Roman"/>
                <w:bCs/>
                <w:color w:val="000000"/>
                <w:sz w:val="24"/>
                <w:szCs w:val="24"/>
              </w:rPr>
              <w:t xml:space="preserve">Hyper</w:t>
            </w:r>
            <w:r>
              <w:rPr>
                <w:rFonts w:ascii="Times New Roman" w:hAnsi="Times New Roman" w:cs="Times New Roman"/>
                <w:bCs/>
                <w:color w:val="000000"/>
                <w:sz w:val="24"/>
                <w:szCs w:val="24"/>
              </w:rPr>
              <w:t xml:space="preserve">-V Server, тобто віртуальних машин (ВМ), без необхідності установки будь-яких агентів на відповідних віртуальних машинах.</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Здійснення антивірусного захисту</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за розкладом і на вимогу за допомогою антивірусних баз даних;</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 режимі реального часу;</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сканування файлів під час запуску системи;</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захисту документів;</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комп'ютера у неактивному стані;</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сканування архівів;</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евристичний аналізатор;</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шпигунського ПЗ;</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w:t>
            </w:r>
            <w:r>
              <w:rPr>
                <w:rFonts w:ascii="Times New Roman" w:hAnsi="Times New Roman" w:cs="Times New Roman"/>
                <w:sz w:val="24"/>
                <w:szCs w:val="24"/>
              </w:rPr>
              <w:t xml:space="preserve">руткитів</w:t>
            </w:r>
            <w:r>
              <w:rPr>
                <w:rFonts w:ascii="Times New Roman" w:hAnsi="Times New Roman" w:cs="Times New Roman"/>
                <w:sz w:val="24"/>
                <w:szCs w:val="24"/>
              </w:rPr>
              <w:t xml:space="preserve">;</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скриптів;</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від </w:t>
            </w:r>
            <w:r>
              <w:rPr>
                <w:rFonts w:ascii="Times New Roman" w:hAnsi="Times New Roman" w:cs="Times New Roman"/>
                <w:sz w:val="24"/>
                <w:szCs w:val="24"/>
              </w:rPr>
              <w:t xml:space="preserve">ботнетів</w:t>
            </w:r>
            <w:r>
              <w:rPr>
                <w:rFonts w:ascii="Times New Roman" w:hAnsi="Times New Roman" w:cs="Times New Roman"/>
                <w:sz w:val="24"/>
                <w:szCs w:val="24"/>
              </w:rPr>
              <w:t xml:space="preserve">, технологія яка забезпечує захист від загроз типу "</w:t>
            </w:r>
            <w:r>
              <w:rPr>
                <w:rFonts w:ascii="Times New Roman" w:hAnsi="Times New Roman" w:cs="Times New Roman"/>
                <w:sz w:val="24"/>
                <w:szCs w:val="24"/>
              </w:rPr>
              <w:t xml:space="preserve">ботнет</w:t>
            </w:r>
            <w:r>
              <w:rPr>
                <w:rFonts w:ascii="Times New Roman" w:hAnsi="Times New Roman" w:cs="Times New Roman"/>
                <w:sz w:val="24"/>
                <w:szCs w:val="24"/>
              </w:rPr>
              <w:t xml:space="preserve">";</w:t>
            </w:r>
            <w:r/>
          </w:p>
          <w:p>
            <w:pPr>
              <w:numPr>
                <w:ilvl w:val="0"/>
                <w:numId w:val="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від </w:t>
            </w:r>
            <w:r>
              <w:rPr>
                <w:rFonts w:ascii="Times New Roman" w:hAnsi="Times New Roman" w:cs="Times New Roman"/>
                <w:sz w:val="24"/>
                <w:szCs w:val="24"/>
              </w:rPr>
              <w:t xml:space="preserve">експлойтів</w:t>
            </w:r>
            <w:r>
              <w:rPr>
                <w:rFonts w:ascii="Times New Roman" w:hAnsi="Times New Roman" w:cs="Times New Roman"/>
                <w:sz w:val="24"/>
                <w:szCs w:val="24"/>
              </w:rPr>
              <w:t xml:space="preserve">, який забезпечує захист від загроз здатних використовувати уразливості </w:t>
            </w:r>
            <w:r>
              <w:rPr>
                <w:rFonts w:ascii="Times New Roman" w:hAnsi="Times New Roman" w:cs="Times New Roman"/>
                <w:sz w:val="24"/>
                <w:szCs w:val="24"/>
              </w:rPr>
              <w:t xml:space="preserve">Java</w:t>
            </w:r>
            <w:r>
              <w:rPr>
                <w:rFonts w:ascii="Times New Roman" w:hAnsi="Times New Roman" w:cs="Times New Roman"/>
                <w:sz w:val="24"/>
                <w:szCs w:val="24"/>
              </w:rPr>
              <w:t xml:space="preserve">, </w:t>
            </w:r>
            <w:r>
              <w:rPr>
                <w:rFonts w:ascii="Times New Roman" w:hAnsi="Times New Roman" w:cs="Times New Roman"/>
                <w:sz w:val="24"/>
                <w:szCs w:val="24"/>
              </w:rPr>
              <w:t xml:space="preserve">Flash</w:t>
            </w:r>
            <w:r>
              <w:rPr>
                <w:rFonts w:ascii="Times New Roman" w:hAnsi="Times New Roman" w:cs="Times New Roman"/>
                <w:sz w:val="24"/>
                <w:szCs w:val="24"/>
              </w:rPr>
              <w:t xml:space="preserve"> та інших додатків.</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електронної пошти</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поштового трафіку  (POP3, POP3S, SMTP, IMAP та IMAPS);</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поштових вкладень;</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від спаму;</w:t>
            </w:r>
            <w:r/>
          </w:p>
          <w:p>
            <w:pPr>
              <w:numPr>
                <w:ilvl w:val="0"/>
                <w:numId w:val="4"/>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автоматично видаляти або переміщувати заражену пошту до вказаного каталогу у поштовому клієнті.</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у </w:t>
            </w:r>
            <w:r>
              <w:rPr>
                <w:rFonts w:ascii="Times New Roman" w:hAnsi="Times New Roman" w:cs="Times New Roman"/>
                <w:sz w:val="24"/>
                <w:szCs w:val="24"/>
              </w:rPr>
              <w:t xml:space="preserve">Web</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перевірка HTTP, HTTPS трафіку;</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та блокування доступу до небезпечних сайтів;</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дозволених\заборонених\ виключених з перевірки переліків сайтів;</w:t>
            </w:r>
            <w:r/>
          </w:p>
          <w:p>
            <w:pPr>
              <w:numPr>
                <w:ilvl w:val="0"/>
                <w:numId w:val="5"/>
              </w:numPr>
              <w:ind w:left="223" w:hanging="223"/>
              <w:spacing w:after="0" w:line="240" w:lineRule="auto"/>
              <w:tabs>
                <w:tab w:val="left" w:pos="223" w:leader="none"/>
              </w:tabs>
              <w:rPr>
                <w:rFonts w:ascii="Times New Roman" w:hAnsi="Times New Roman" w:cs="Times New Roman"/>
                <w:sz w:val="24"/>
                <w:szCs w:val="24"/>
              </w:rPr>
            </w:pPr>
            <w:r>
              <w:rPr>
                <w:rFonts w:ascii="Times New Roman" w:hAnsi="Times New Roman" w:cs="Times New Roman"/>
                <w:sz w:val="24"/>
                <w:szCs w:val="24"/>
              </w:rPr>
              <w:t xml:space="preserve">можливість блокувати завантаження з Інтернету файлів за вказаним розширенням.</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w:t>
            </w:r>
            <w:r>
              <w:rPr>
                <w:rFonts w:ascii="Times New Roman" w:hAnsi="Times New Roman" w:cs="Times New Roman"/>
                <w:sz w:val="24"/>
                <w:szCs w:val="24"/>
              </w:rPr>
              <w:t xml:space="preserve">проактивного</w:t>
            </w:r>
            <w:r>
              <w:rPr>
                <w:rFonts w:ascii="Times New Roman" w:hAnsi="Times New Roman" w:cs="Times New Roman"/>
                <w:sz w:val="24"/>
                <w:szCs w:val="24"/>
              </w:rPr>
              <w:t xml:space="preserve"> захисту</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троянського ПЗ;</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клавіатурних шпигунів;</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 від рекламного ПЗ;</w:t>
            </w:r>
            <w:r/>
          </w:p>
          <w:p>
            <w:pPr>
              <w:numPr>
                <w:ilvl w:val="0"/>
                <w:numId w:val="5"/>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від </w:t>
            </w:r>
            <w:r>
              <w:rPr>
                <w:rFonts w:ascii="Times New Roman" w:hAnsi="Times New Roman" w:cs="Times New Roman"/>
                <w:sz w:val="24"/>
                <w:szCs w:val="24"/>
              </w:rPr>
              <w:t xml:space="preserve">фішингу</w:t>
            </w:r>
            <w:r>
              <w:rPr>
                <w:rFonts w:ascii="Times New Roman" w:hAnsi="Times New Roman" w:cs="Times New Roman"/>
                <w:sz w:val="24"/>
                <w:szCs w:val="24"/>
              </w:rPr>
              <w:t xml:space="preserve">.</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контролю за використанням зовнішніх пристроїв</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автоматична антивірусна перевірка змінних носіїв;</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керування доступом до зовнішніх пристроїв;</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підключення до </w:t>
            </w:r>
            <w:r>
              <w:rPr>
                <w:rFonts w:ascii="Times New Roman" w:hAnsi="Times New Roman" w:cs="Times New Roman"/>
                <w:sz w:val="24"/>
                <w:szCs w:val="24"/>
              </w:rPr>
              <w:t xml:space="preserve">сервреру</w:t>
            </w:r>
            <w:r>
              <w:rPr>
                <w:rFonts w:ascii="Times New Roman" w:hAnsi="Times New Roman" w:cs="Times New Roman"/>
                <w:sz w:val="24"/>
                <w:szCs w:val="24"/>
              </w:rPr>
              <w:t xml:space="preserve"> периферійних пристроїв шляхом створення правил доступу за типом пристрою, за рівнем доступу, за виробником, моделлю або серійним номером пристрою тощо.</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Здійснення оновлень</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часті і невеликі за об'ємом оновлення, відновлення завантаження оновлень після обриву зв'язку;</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мобільним співробітникам отримати оновлення з серверів виробника он-лайн у разі перебування поза корпоративною мережею;</w:t>
            </w:r>
            <w:r/>
          </w:p>
          <w:p>
            <w:pPr>
              <w:numPr>
                <w:ilvl w:val="0"/>
                <w:numId w:val="6"/>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дзеркала оновлень засобами антивірусного ПЗ;</w:t>
            </w:r>
            <w:r/>
          </w:p>
          <w:p>
            <w:pPr>
              <w:numPr>
                <w:ilvl w:val="0"/>
                <w:numId w:val="7"/>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оновлень в центрі антивірусного захисту інформації Державної служби спеціального зв’язку та захисту інформації.</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pStyle w:val="677"/>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віртуальних робочих станцій</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7"/>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спеціальної технології, яка значно знижує навантаження на віртуальні робочі станції, а також на </w:t>
            </w:r>
            <w:r>
              <w:rPr>
                <w:rFonts w:ascii="Times New Roman" w:hAnsi="Times New Roman" w:cs="Times New Roman"/>
                <w:sz w:val="24"/>
                <w:szCs w:val="24"/>
              </w:rPr>
              <w:t xml:space="preserve">гіпервізор</w:t>
            </w:r>
            <w:r>
              <w:rPr>
                <w:rFonts w:ascii="Times New Roman" w:hAnsi="Times New Roman" w:cs="Times New Roman"/>
                <w:sz w:val="24"/>
                <w:szCs w:val="24"/>
              </w:rPr>
              <w:t xml:space="preserve"> у цілому.</w:t>
            </w:r>
            <w:r/>
          </w:p>
        </w:tc>
      </w:tr>
      <w:tr>
        <w:trPr/>
        <w:tc>
          <w:tcPr>
            <w:tcBorders>
              <w:top w:val="single" w:color="auto" w:sz="4" w:space="0"/>
              <w:left w:val="single" w:color="auto" w:sz="4" w:space="0"/>
              <w:bottom w:val="single" w:color="auto" w:sz="4" w:space="0"/>
              <w:right w:val="single" w:color="auto" w:sz="4" w:space="0"/>
            </w:tcBorders>
            <w:tcW w:w="810" w:type="dxa"/>
            <w:textDirection w:val="lrTb"/>
            <w:noWrap w:val="false"/>
          </w:tcPr>
          <w:p>
            <w:pPr>
              <w:pStyle w:val="677"/>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297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Операційні системи, які підтримуються</w:t>
            </w:r>
            <w:r/>
          </w:p>
        </w:tc>
        <w:tc>
          <w:tcPr>
            <w:tcBorders>
              <w:top w:val="single" w:color="auto" w:sz="4" w:space="0"/>
              <w:left w:val="single" w:color="auto" w:sz="4" w:space="0"/>
              <w:bottom w:val="single" w:color="auto" w:sz="4" w:space="0"/>
              <w:right w:val="single" w:color="auto" w:sz="4" w:space="0"/>
            </w:tcBorders>
            <w:tcW w:w="5964" w:type="dxa"/>
            <w:textDirection w:val="lrTb"/>
            <w:noWrap w:val="false"/>
          </w:tcPr>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Server 2003;</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Server 2008;</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Server 2008 R2;</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Server 2012;</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Microsoft Windows Server 2016.</w:t>
            </w:r>
            <w:r/>
          </w:p>
        </w:tc>
      </w:tr>
    </w:tbl>
    <w:p>
      <w:pPr>
        <w:jc w:val="both"/>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r>
      <w:r/>
    </w:p>
    <w:p>
      <w:pPr>
        <w:ind w:firstLine="708"/>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Система управління антивірусним програмним забезпеченням повинна відповідати наступним обов’язковим функціональним вимогам:</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3060"/>
        <w:gridCol w:w="5859"/>
      </w:tblGrid>
      <w:tr>
        <w:trPr>
          <w:tblHeade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п/п</w:t>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Функціонал системи управління</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Вимоги</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Виявлення комп'ютерів у корпоративній мережі та здійснення управління комп'ютерами</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імпорту з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 після якого створюється аналогічне дерево груп з користувачами;</w:t>
            </w:r>
            <w:r/>
          </w:p>
          <w:p>
            <w:pPr>
              <w:numPr>
                <w:ilvl w:val="0"/>
                <w:numId w:val="8"/>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виконувати періодичну синхронізацію з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"ручний" імпорт облікових записів в систему;</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та ручне групування комп'ютерів;</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багаторівневої структури груп;</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виконувати додаткові мережеві дії, такі як: перевірка зв'язку, пробудження віддаленого комп'ютера, перегляд спільних ресурсів, завершення роботи та перезавантаження тощо.</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клієнтського програмного забезпечення</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віддалена інсталяція/видалення антивірусного програмного забезпечення;</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конфігурації інсталяційного пакету;</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інсталяційних пакетів за допомогою системи управління;</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"ручного" встановлення клієнта;</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встановлення клієнта на нові комп'ютери;</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віддалена активація/деактивація модулів захисту на окремо взятому клієнті;</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здійснювати віддалене встановлення та видалення стороннього ПЗ.</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конфігурацією клієнтів</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здійснення централізованого управління конфігурацією клієнтів;</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інструменту для створення та редагування інсталяційних пакетів з попередньо встановленими настройками конфігурації;</w:t>
            </w:r>
            <w:r/>
          </w:p>
          <w:p>
            <w:pPr>
              <w:numPr>
                <w:ilvl w:val="0"/>
                <w:numId w:val="11"/>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наслідування політик/конфігурації клієнтів.</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інфраструктурою серверів</w:t>
            </w:r>
            <w:r/>
          </w:p>
        </w:tc>
        <w:tc>
          <w:tcPr>
            <w:shd w:val="clear" w:color="auto" w:fill="ffffff"/>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встановлення додаткових серверів;</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здійснення централізованого управління інфраструктурою серверів;</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будування ієрархічної структури адмініструв</w:t>
            </w:r>
            <w:r>
              <w:rPr>
                <w:rFonts w:ascii="Times New Roman" w:hAnsi="Times New Roman" w:cs="Times New Roman"/>
                <w:sz w:val="24"/>
                <w:szCs w:val="24"/>
              </w:rPr>
              <w:t xml:space="preserve">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Інформування про стан системи антивірусного захисту</w:t>
            </w:r>
            <w:r/>
          </w:p>
        </w:tc>
        <w:tc>
          <w:tcPr>
            <w:shd w:val="clear" w:color="auto" w:fill="ffffff"/>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моніторингу антивірусного захисту корпоративної мережі та надання актуальної інформації про стан безпеки;</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набору звітів щодо стану системи;</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коригування вигляду та  налаштування параметрів звітів;</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фільтрації інформації у звітах по одному комп'ютеру, групах комп'ютерів тощо;</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експорту звітів в інші формати;</w:t>
            </w:r>
            <w:r/>
          </w:p>
          <w:p>
            <w:pPr>
              <w:numPr>
                <w:ilvl w:val="0"/>
                <w:numId w:val="1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можливості сповіщення адміністратора про небезпечні події;</w:t>
            </w:r>
            <w:r/>
          </w:p>
          <w:p>
            <w:pPr>
              <w:numPr>
                <w:ilvl w:val="0"/>
                <w:numId w:val="13"/>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спеціальний компонент, що спрощує виявлення незахищених робочих станцій.</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обліковими записами адміністраторів </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w:t>
            </w:r>
            <w:r>
              <w:rPr>
                <w:rFonts w:ascii="Times New Roman" w:hAnsi="Times New Roman" w:cs="Times New Roman"/>
                <w:sz w:val="24"/>
                <w:szCs w:val="24"/>
              </w:rPr>
              <w:t xml:space="preserve">автентифікувати</w:t>
            </w:r>
            <w:r>
              <w:rPr>
                <w:rFonts w:ascii="Times New Roman" w:hAnsi="Times New Roman" w:cs="Times New Roman"/>
                <w:sz w:val="24"/>
                <w:szCs w:val="24"/>
              </w:rPr>
              <w:t xml:space="preserve"> адміністраторів за допомогою груп безпеки </w:t>
            </w:r>
            <w:r>
              <w:rPr>
                <w:rFonts w:ascii="Times New Roman" w:hAnsi="Times New Roman" w:cs="Times New Roman"/>
                <w:sz w:val="24"/>
                <w:szCs w:val="24"/>
              </w:rPr>
              <w:t xml:space="preserve">Active</w:t>
            </w:r>
            <w:r>
              <w:rPr>
                <w:rFonts w:ascii="Times New Roman" w:hAnsi="Times New Roman" w:cs="Times New Roman"/>
                <w:sz w:val="24"/>
                <w:szCs w:val="24"/>
              </w:rPr>
              <w:t xml:space="preserve"> </w:t>
            </w:r>
            <w:r>
              <w:rPr>
                <w:rFonts w:ascii="Times New Roman" w:hAnsi="Times New Roman" w:cs="Times New Roman"/>
                <w:sz w:val="24"/>
                <w:szCs w:val="24"/>
              </w:rPr>
              <w:t xml:space="preserve">Directory</w:t>
            </w:r>
            <w:r>
              <w:rPr>
                <w:rFonts w:ascii="Times New Roman" w:hAnsi="Times New Roman" w:cs="Times New Roman"/>
                <w:sz w:val="24"/>
                <w:szCs w:val="24"/>
              </w:rPr>
              <w:t xml:space="preserve">;</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журналу аудиту, у якому відстежуються і реєструються всі зміни в конфігурації та всі дії, які виконують користувачі сервера адміністрування.</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з’єднань з сервером управління</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використання сертифікатів для з’єднання з сервером управління, в тому числі і самостійно випущених сертифікатів;</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використовувати </w:t>
            </w:r>
            <w:r>
              <w:rPr>
                <w:rFonts w:ascii="Times New Roman" w:hAnsi="Times New Roman" w:cs="Times New Roman"/>
                <w:sz w:val="24"/>
                <w:szCs w:val="24"/>
              </w:rPr>
              <w:t xml:space="preserve">двофакторну</w:t>
            </w:r>
            <w:r>
              <w:rPr>
                <w:rFonts w:ascii="Times New Roman" w:hAnsi="Times New Roman" w:cs="Times New Roman"/>
                <w:sz w:val="24"/>
                <w:szCs w:val="24"/>
              </w:rPr>
              <w:t xml:space="preserve"> автентифікацію для облікових записів адміністраторів.</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Постачання сервера адміністрування</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комплексний інсталяційний пакет, що містить всі необхідні компоненти;</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окремі інсталяційні пакети для </w:t>
            </w:r>
            <w:r>
              <w:rPr>
                <w:rFonts w:ascii="Times New Roman" w:hAnsi="Times New Roman" w:cs="Times New Roman"/>
                <w:sz w:val="24"/>
                <w:szCs w:val="24"/>
              </w:rPr>
              <w:t xml:space="preserve">покомпонентного</w:t>
            </w:r>
            <w:r>
              <w:rPr>
                <w:rFonts w:ascii="Times New Roman" w:hAnsi="Times New Roman" w:cs="Times New Roman"/>
                <w:sz w:val="24"/>
                <w:szCs w:val="24"/>
              </w:rPr>
              <w:t xml:space="preserve"> встановлення;</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серверу адміністрування на ОС Windows та </w:t>
            </w:r>
            <w:r>
              <w:rPr>
                <w:rFonts w:ascii="Times New Roman" w:hAnsi="Times New Roman" w:cs="Times New Roman"/>
                <w:sz w:val="24"/>
                <w:szCs w:val="24"/>
              </w:rPr>
              <w:t xml:space="preserve">Linux</w:t>
            </w:r>
            <w:r>
              <w:rPr>
                <w:rFonts w:ascii="Times New Roman" w:hAnsi="Times New Roman" w:cs="Times New Roman"/>
                <w:sz w:val="24"/>
                <w:szCs w:val="24"/>
              </w:rPr>
              <w:t xml:space="preserve">.</w:t>
            </w:r>
            <w:r/>
          </w:p>
          <w:p>
            <w:pPr>
              <w:numPr>
                <w:ilvl w:val="0"/>
                <w:numId w:val="12"/>
              </w:numPr>
              <w:ind w:left="223" w:hanging="223"/>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 віртуальної машини з сервером, готовим до використання, для таких віртуальних середовищ, як Microsoft </w:t>
            </w:r>
            <w:r>
              <w:rPr>
                <w:rFonts w:ascii="Times New Roman" w:hAnsi="Times New Roman" w:cs="Times New Roman"/>
                <w:sz w:val="24"/>
                <w:szCs w:val="24"/>
              </w:rPr>
              <w:t xml:space="preserve">Hyper</w:t>
            </w:r>
            <w:r>
              <w:rPr>
                <w:rFonts w:ascii="Times New Roman" w:hAnsi="Times New Roman" w:cs="Times New Roman"/>
                <w:sz w:val="24"/>
                <w:szCs w:val="24"/>
              </w:rPr>
              <w:t xml:space="preserve">-V, </w:t>
            </w:r>
            <w:r>
              <w:rPr>
                <w:rFonts w:ascii="Times New Roman" w:hAnsi="Times New Roman" w:cs="Times New Roman"/>
                <w:sz w:val="24"/>
                <w:szCs w:val="24"/>
              </w:rPr>
              <w:t xml:space="preserve">Oracle</w:t>
            </w:r>
            <w:r>
              <w:rPr>
                <w:rFonts w:ascii="Times New Roman" w:hAnsi="Times New Roman" w:cs="Times New Roman"/>
                <w:sz w:val="24"/>
                <w:szCs w:val="24"/>
              </w:rPr>
              <w:t xml:space="preserve"> </w:t>
            </w:r>
            <w:r>
              <w:rPr>
                <w:rFonts w:ascii="Times New Roman" w:hAnsi="Times New Roman" w:cs="Times New Roman"/>
                <w:sz w:val="24"/>
                <w:szCs w:val="24"/>
              </w:rPr>
              <w:t xml:space="preserve">VirtualBox</w:t>
            </w:r>
            <w:r>
              <w:rPr>
                <w:rFonts w:ascii="Times New Roman" w:hAnsi="Times New Roman" w:cs="Times New Roman"/>
                <w:sz w:val="24"/>
                <w:szCs w:val="24"/>
              </w:rPr>
              <w:t xml:space="preserve">,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ESXi</w:t>
            </w:r>
            <w:r>
              <w:rPr>
                <w:rFonts w:ascii="Times New Roman" w:hAnsi="Times New Roman" w:cs="Times New Roman"/>
                <w:sz w:val="24"/>
                <w:szCs w:val="24"/>
              </w:rPr>
              <w:t xml:space="preserve">/</w:t>
            </w:r>
            <w:r>
              <w:rPr>
                <w:rFonts w:ascii="Times New Roman" w:hAnsi="Times New Roman" w:cs="Times New Roman"/>
                <w:sz w:val="24"/>
                <w:szCs w:val="24"/>
              </w:rPr>
              <w:t xml:space="preserve">vSphere</w:t>
            </w:r>
            <w:r>
              <w:rPr>
                <w:rFonts w:ascii="Times New Roman" w:hAnsi="Times New Roman" w:cs="Times New Roman"/>
                <w:sz w:val="24"/>
                <w:szCs w:val="24"/>
              </w:rPr>
              <w:t xml:space="preserve">/</w:t>
            </w:r>
            <w:r>
              <w:rPr>
                <w:rFonts w:ascii="Times New Roman" w:hAnsi="Times New Roman" w:cs="Times New Roman"/>
                <w:sz w:val="24"/>
                <w:szCs w:val="24"/>
              </w:rPr>
              <w:t xml:space="preserve">Player</w:t>
            </w:r>
            <w:r>
              <w:rPr>
                <w:rFonts w:ascii="Times New Roman" w:hAnsi="Times New Roman" w:cs="Times New Roman"/>
                <w:sz w:val="24"/>
                <w:szCs w:val="24"/>
              </w:rPr>
              <w:t xml:space="preserve">/Workstation).</w:t>
            </w:r>
            <w:r/>
          </w:p>
        </w:tc>
      </w:tr>
      <w:tr>
        <w:trPr/>
        <w:tc>
          <w:tcPr>
            <w:tcBorders>
              <w:top w:val="single" w:color="auto" w:sz="4" w:space="0"/>
              <w:left w:val="single" w:color="auto" w:sz="4" w:space="0"/>
              <w:bottom w:val="single" w:color="auto" w:sz="4" w:space="0"/>
              <w:right w:val="single" w:color="auto" w:sz="4" w:space="0"/>
            </w:tcBorders>
            <w:tcW w:w="828" w:type="dxa"/>
            <w:textDirection w:val="lrTb"/>
            <w:noWrap w:val="false"/>
          </w:tcPr>
          <w:p>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single" w:color="auto" w:sz="4" w:space="0"/>
              <w:bottom w:val="single" w:color="auto" w:sz="4" w:space="0"/>
              <w:right w:val="single" w:color="auto" w:sz="4" w:space="0"/>
            </w:tcBorders>
            <w:tcW w:w="3060"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Операційні системи, які підтримуються сервером віддаленого управління</w:t>
            </w:r>
            <w:r/>
          </w:p>
        </w:tc>
        <w:tc>
          <w:tcPr>
            <w:tcBorders>
              <w:top w:val="single" w:color="auto" w:sz="4" w:space="0"/>
              <w:left w:val="single" w:color="auto" w:sz="4" w:space="0"/>
              <w:bottom w:val="single" w:color="auto" w:sz="4" w:space="0"/>
              <w:right w:val="single" w:color="auto" w:sz="4" w:space="0"/>
            </w:tcBorders>
            <w:tcW w:w="5859" w:type="dxa"/>
            <w:textDirection w:val="lrTb"/>
            <w:noWrap w:val="false"/>
          </w:tcPr>
          <w:p>
            <w:pPr>
              <w:numPr>
                <w:ilvl w:val="0"/>
                <w:numId w:val="8"/>
              </w:numPr>
              <w:ind w:left="-27" w:right="-108" w:firstLine="27"/>
              <w:spacing w:after="0" w:line="240" w:lineRule="auto"/>
              <w:tabs>
                <w:tab w:val="left" w:pos="360" w:leader="none"/>
              </w:tabs>
              <w:rPr>
                <w:rFonts w:ascii="Times New Roman" w:hAnsi="Times New Roman" w:cs="Times New Roman"/>
                <w:sz w:val="24"/>
                <w:szCs w:val="24"/>
              </w:rPr>
            </w:pPr>
            <w:r>
              <w:rPr>
                <w:rFonts w:ascii="Times New Roman" w:hAnsi="Times New Roman" w:cs="Times New Roman"/>
                <w:sz w:val="24"/>
                <w:szCs w:val="24"/>
              </w:rPr>
              <w:t xml:space="preserve">Microsoft Window</w:t>
            </w:r>
            <w:r>
              <w:rPr>
                <w:rFonts w:ascii="Times New Roman" w:hAnsi="Times New Roman" w:cs="Times New Roman"/>
                <w:sz w:val="24"/>
                <w:szCs w:val="24"/>
              </w:rPr>
              <w:t xml:space="preserve">s Server 2003 SP2; Microsoft Windows Server 2003 R2 SP2; Microsoft Windows Server 2008; Microsoft Windows Server 2008 SP2; Microsoft Windows Server 2008 R2 SP1; Microsoft Windows Server 2012; Microsoft Windows Server 2012 R2; Microsoft Windows Server 2016;</w:t>
            </w:r>
            <w:r/>
          </w:p>
          <w:p>
            <w:pPr>
              <w:numPr>
                <w:ilvl w:val="0"/>
                <w:numId w:val="8"/>
              </w:numPr>
              <w:ind w:left="-27" w:right="-108" w:firstLine="27"/>
              <w:spacing w:after="0" w:line="240" w:lineRule="auto"/>
              <w:tabs>
                <w:tab w:val="left" w:pos="360" w:leader="none"/>
              </w:tabs>
              <w:rPr>
                <w:rFonts w:ascii="Times New Roman" w:hAnsi="Times New Roman" w:cs="Times New Roman"/>
                <w:sz w:val="24"/>
                <w:szCs w:val="24"/>
              </w:rPr>
            </w:pPr>
            <w:r>
              <w:rPr>
                <w:rFonts w:ascii="Times New Roman" w:hAnsi="Times New Roman" w:cs="Times New Roman"/>
                <w:sz w:val="24"/>
                <w:szCs w:val="24"/>
              </w:rPr>
              <w:t xml:space="preserve">Ubuntu</w:t>
            </w:r>
            <w:r>
              <w:rPr>
                <w:rFonts w:ascii="Times New Roman" w:hAnsi="Times New Roman" w:cs="Times New Roman"/>
                <w:sz w:val="24"/>
                <w:szCs w:val="24"/>
              </w:rPr>
              <w:t xml:space="preserve"> 12+; RHEL 5+; </w:t>
            </w:r>
            <w:r>
              <w:rPr>
                <w:rFonts w:ascii="Times New Roman" w:hAnsi="Times New Roman" w:cs="Times New Roman"/>
                <w:sz w:val="24"/>
                <w:szCs w:val="24"/>
              </w:rPr>
              <w:t xml:space="preserve">CentOS</w:t>
            </w:r>
            <w:r>
              <w:rPr>
                <w:rFonts w:ascii="Times New Roman" w:hAnsi="Times New Roman" w:cs="Times New Roman"/>
                <w:sz w:val="24"/>
                <w:szCs w:val="24"/>
              </w:rPr>
              <w:t xml:space="preserve"> 5+; SLED 11+; SLES 11+; </w:t>
            </w:r>
            <w:r>
              <w:rPr>
                <w:rFonts w:ascii="Times New Roman" w:hAnsi="Times New Roman" w:cs="Times New Roman"/>
                <w:sz w:val="24"/>
                <w:szCs w:val="24"/>
              </w:rPr>
              <w:t xml:space="preserve">OpenSUSE</w:t>
            </w:r>
            <w:r>
              <w:rPr>
                <w:rFonts w:ascii="Times New Roman" w:hAnsi="Times New Roman" w:cs="Times New Roman"/>
                <w:sz w:val="24"/>
                <w:szCs w:val="24"/>
              </w:rPr>
              <w:t xml:space="preserve"> 13; </w:t>
            </w:r>
            <w:r>
              <w:rPr>
                <w:rFonts w:ascii="Times New Roman" w:hAnsi="Times New Roman" w:cs="Times New Roman"/>
                <w:sz w:val="24"/>
                <w:szCs w:val="24"/>
              </w:rPr>
              <w:t xml:space="preserve">Debian</w:t>
            </w:r>
            <w:r>
              <w:rPr>
                <w:rFonts w:ascii="Times New Roman" w:hAnsi="Times New Roman" w:cs="Times New Roman"/>
                <w:sz w:val="24"/>
                <w:szCs w:val="24"/>
              </w:rPr>
              <w:t xml:space="preserve"> 7+; </w:t>
            </w:r>
            <w:r>
              <w:rPr>
                <w:rFonts w:ascii="Times New Roman" w:hAnsi="Times New Roman" w:cs="Times New Roman"/>
                <w:sz w:val="24"/>
                <w:szCs w:val="24"/>
              </w:rPr>
              <w:t xml:space="preserve">Fedora</w:t>
            </w:r>
            <w:r>
              <w:rPr>
                <w:rFonts w:ascii="Times New Roman" w:hAnsi="Times New Roman" w:cs="Times New Roman"/>
                <w:sz w:val="24"/>
                <w:szCs w:val="24"/>
              </w:rPr>
              <w:t xml:space="preserve"> 19+.</w:t>
            </w:r>
            <w:r/>
          </w:p>
        </w:tc>
      </w:tr>
    </w:tbl>
    <w:p>
      <w:pPr>
        <w:jc w:val="both"/>
        <w:spacing w:after="0" w:line="240" w:lineRule="auto"/>
        <w:rPr>
          <w:rFonts w:ascii="Times New Roman" w:hAnsi="Times New Roman" w:eastAsia="Calibri" w:cs="Times New Roman"/>
          <w:bCs/>
          <w:sz w:val="24"/>
          <w:szCs w:val="24"/>
          <w:lang w:val="ru-RU"/>
        </w:rPr>
      </w:pPr>
      <w:r>
        <w:rPr>
          <w:rFonts w:ascii="Times New Roman" w:hAnsi="Times New Roman" w:eastAsia="Calibri" w:cs="Times New Roman"/>
          <w:bCs/>
          <w:sz w:val="24"/>
          <w:szCs w:val="24"/>
        </w:rPr>
        <w:t xml:space="preserve">         </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i/>
          <w:iCs/>
          <w:color w:val="000000" w:themeColor="text1"/>
          <w:sz w:val="24"/>
          <w:szCs w:val="24"/>
          <w:lang w:eastAsia="ru-RU"/>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lang w:val="ru-RU"/>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12 662,00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дванадцять тисяч шістсот </w:t>
      </w:r>
      <w:r>
        <w:rPr>
          <w:rFonts w:ascii="Times New Roman" w:hAnsi="Times New Roman" w:eastAsia="Times New Roman" w:cs="Times New Roman"/>
          <w:sz w:val="24"/>
          <w:szCs w:val="24"/>
          <w:lang w:eastAsia="ru-RU"/>
        </w:rPr>
        <w:t xml:space="preserve">шістдесят дві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83"/>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493"/>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bullet"/>
      <w:isLgl w:val="false"/>
      <w:suff w:val="tab"/>
      <w:lvlText w:val="-"/>
      <w:lvlJc w:val="left"/>
      <w:pPr>
        <w:ind w:left="578" w:hanging="360"/>
      </w:pPr>
      <w:rPr>
        <w:rFonts w:hint="default" w:ascii="Times New Roman" w:hAnsi="Times New Roman" w:eastAsia="Times New Roman" w:cs="Times New Roman"/>
      </w:rPr>
    </w:lvl>
    <w:lvl w:ilvl="1">
      <w:start w:val="1"/>
      <w:numFmt w:val="bullet"/>
      <w:isLgl w:val="false"/>
      <w:suff w:val="tab"/>
      <w:lvlText w:val="o"/>
      <w:lvlJc w:val="left"/>
      <w:pPr>
        <w:ind w:left="1298" w:hanging="360"/>
      </w:pPr>
      <w:rPr>
        <w:rFonts w:hint="default" w:ascii="Courier New" w:hAnsi="Courier New" w:cs="Courier New"/>
      </w:rPr>
    </w:lvl>
    <w:lvl w:ilvl="2">
      <w:start w:val="1"/>
      <w:numFmt w:val="bullet"/>
      <w:isLgl w:val="false"/>
      <w:suff w:val="tab"/>
      <w:lvlText w:val=""/>
      <w:lvlJc w:val="left"/>
      <w:pPr>
        <w:ind w:left="2018" w:hanging="360"/>
      </w:pPr>
      <w:rPr>
        <w:rFonts w:hint="default" w:ascii="Wingdings" w:hAnsi="Wingdings"/>
      </w:rPr>
    </w:lvl>
    <w:lvl w:ilvl="3">
      <w:start w:val="1"/>
      <w:numFmt w:val="bullet"/>
      <w:isLgl w:val="false"/>
      <w:suff w:val="tab"/>
      <w:lvlText w:val=""/>
      <w:lvlJc w:val="left"/>
      <w:pPr>
        <w:ind w:left="2738" w:hanging="360"/>
      </w:pPr>
      <w:rPr>
        <w:rFonts w:hint="default" w:ascii="Symbol" w:hAnsi="Symbol"/>
      </w:rPr>
    </w:lvl>
    <w:lvl w:ilvl="4">
      <w:start w:val="1"/>
      <w:numFmt w:val="bullet"/>
      <w:isLgl w:val="false"/>
      <w:suff w:val="tab"/>
      <w:lvlText w:val="o"/>
      <w:lvlJc w:val="left"/>
      <w:pPr>
        <w:ind w:left="3458" w:hanging="360"/>
      </w:pPr>
      <w:rPr>
        <w:rFonts w:hint="default" w:ascii="Courier New" w:hAnsi="Courier New" w:cs="Courier New"/>
      </w:rPr>
    </w:lvl>
    <w:lvl w:ilvl="5">
      <w:start w:val="1"/>
      <w:numFmt w:val="bullet"/>
      <w:isLgl w:val="false"/>
      <w:suff w:val="tab"/>
      <w:lvlText w:val=""/>
      <w:lvlJc w:val="left"/>
      <w:pPr>
        <w:ind w:left="4178" w:hanging="360"/>
      </w:pPr>
      <w:rPr>
        <w:rFonts w:hint="default" w:ascii="Wingdings" w:hAnsi="Wingdings"/>
      </w:rPr>
    </w:lvl>
    <w:lvl w:ilvl="6">
      <w:start w:val="1"/>
      <w:numFmt w:val="bullet"/>
      <w:isLgl w:val="false"/>
      <w:suff w:val="tab"/>
      <w:lvlText w:val=""/>
      <w:lvlJc w:val="left"/>
      <w:pPr>
        <w:ind w:left="4898" w:hanging="360"/>
      </w:pPr>
      <w:rPr>
        <w:rFonts w:hint="default" w:ascii="Symbol" w:hAnsi="Symbol"/>
      </w:rPr>
    </w:lvl>
    <w:lvl w:ilvl="7">
      <w:start w:val="1"/>
      <w:numFmt w:val="bullet"/>
      <w:isLgl w:val="false"/>
      <w:suff w:val="tab"/>
      <w:lvlText w:val="o"/>
      <w:lvlJc w:val="left"/>
      <w:pPr>
        <w:ind w:left="5618" w:hanging="360"/>
      </w:pPr>
      <w:rPr>
        <w:rFonts w:hint="default" w:ascii="Courier New" w:hAnsi="Courier New" w:cs="Courier New"/>
      </w:rPr>
    </w:lvl>
    <w:lvl w:ilvl="8">
      <w:start w:val="1"/>
      <w:numFmt w:val="bullet"/>
      <w:isLgl w:val="false"/>
      <w:suff w:val="tab"/>
      <w:lvlText w:val=""/>
      <w:lvlJc w:val="left"/>
      <w:pPr>
        <w:ind w:left="6338"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493"/>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360" w:hanging="360"/>
      </w:pPr>
      <w:rPr>
        <w:rFonts w:hint="default" w:ascii="Times New Roman" w:hAnsi="Times New Roman" w:eastAsia="Times New Roman" w:cs="Times New Roman"/>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493"/>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
    <w:multiLevelType w:val="hybridMultilevel"/>
    <w:lvl w:ilvl="0">
      <w:start w:val="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9"/>
  </w:num>
  <w:num w:numId="5">
    <w:abstractNumId w:val="12"/>
  </w:num>
  <w:num w:numId="6">
    <w:abstractNumId w:val="8"/>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70"/>
    <w:next w:val="670"/>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4"/>
    <w:link w:val="12"/>
    <w:uiPriority w:val="9"/>
    <w:rPr>
      <w:rFonts w:ascii="Arial" w:hAnsi="Arial" w:eastAsia="Arial" w:cs="Arial"/>
      <w:sz w:val="40"/>
      <w:szCs w:val="40"/>
    </w:rPr>
  </w:style>
  <w:style w:type="character" w:styleId="15">
    <w:name w:val="Heading 2 Char"/>
    <w:basedOn w:val="674"/>
    <w:link w:val="671"/>
    <w:uiPriority w:val="9"/>
    <w:rPr>
      <w:rFonts w:ascii="Arial" w:hAnsi="Arial" w:eastAsia="Arial" w:cs="Arial"/>
      <w:sz w:val="34"/>
    </w:rPr>
  </w:style>
  <w:style w:type="character" w:styleId="17">
    <w:name w:val="Heading 3 Char"/>
    <w:basedOn w:val="674"/>
    <w:link w:val="672"/>
    <w:uiPriority w:val="9"/>
    <w:rPr>
      <w:rFonts w:ascii="Arial" w:hAnsi="Arial" w:eastAsia="Arial" w:cs="Arial"/>
      <w:sz w:val="30"/>
      <w:szCs w:val="30"/>
    </w:rPr>
  </w:style>
  <w:style w:type="character" w:styleId="19">
    <w:name w:val="Heading 4 Char"/>
    <w:basedOn w:val="674"/>
    <w:link w:val="673"/>
    <w:uiPriority w:val="9"/>
    <w:rPr>
      <w:rFonts w:ascii="Arial" w:hAnsi="Arial" w:eastAsia="Arial" w:cs="Arial"/>
      <w:b/>
      <w:bCs/>
      <w:sz w:val="26"/>
      <w:szCs w:val="26"/>
    </w:rPr>
  </w:style>
  <w:style w:type="paragraph" w:styleId="20">
    <w:name w:val="Heading 5"/>
    <w:basedOn w:val="670"/>
    <w:next w:val="67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4"/>
    <w:link w:val="20"/>
    <w:uiPriority w:val="9"/>
    <w:rPr>
      <w:rFonts w:ascii="Arial" w:hAnsi="Arial" w:eastAsia="Arial" w:cs="Arial"/>
      <w:b/>
      <w:bCs/>
      <w:sz w:val="24"/>
      <w:szCs w:val="24"/>
    </w:rPr>
  </w:style>
  <w:style w:type="paragraph" w:styleId="22">
    <w:name w:val="Heading 6"/>
    <w:basedOn w:val="670"/>
    <w:next w:val="67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4"/>
    <w:link w:val="22"/>
    <w:uiPriority w:val="9"/>
    <w:rPr>
      <w:rFonts w:ascii="Arial" w:hAnsi="Arial" w:eastAsia="Arial" w:cs="Arial"/>
      <w:b/>
      <w:bCs/>
      <w:sz w:val="22"/>
      <w:szCs w:val="22"/>
    </w:rPr>
  </w:style>
  <w:style w:type="paragraph" w:styleId="24">
    <w:name w:val="Heading 7"/>
    <w:basedOn w:val="670"/>
    <w:next w:val="67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4"/>
    <w:link w:val="24"/>
    <w:uiPriority w:val="9"/>
    <w:rPr>
      <w:rFonts w:ascii="Arial" w:hAnsi="Arial" w:eastAsia="Arial" w:cs="Arial"/>
      <w:b/>
      <w:bCs/>
      <w:i/>
      <w:iCs/>
      <w:sz w:val="22"/>
      <w:szCs w:val="22"/>
    </w:rPr>
  </w:style>
  <w:style w:type="paragraph" w:styleId="26">
    <w:name w:val="Heading 8"/>
    <w:basedOn w:val="670"/>
    <w:next w:val="67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4"/>
    <w:link w:val="26"/>
    <w:uiPriority w:val="9"/>
    <w:rPr>
      <w:rFonts w:ascii="Arial" w:hAnsi="Arial" w:eastAsia="Arial" w:cs="Arial"/>
      <w:i/>
      <w:iCs/>
      <w:sz w:val="22"/>
      <w:szCs w:val="22"/>
    </w:rPr>
  </w:style>
  <w:style w:type="paragraph" w:styleId="28">
    <w:name w:val="Heading 9"/>
    <w:basedOn w:val="670"/>
    <w:next w:val="67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4"/>
    <w:link w:val="28"/>
    <w:uiPriority w:val="9"/>
    <w:rPr>
      <w:rFonts w:ascii="Arial" w:hAnsi="Arial" w:eastAsia="Arial" w:cs="Arial"/>
      <w:i/>
      <w:iCs/>
      <w:sz w:val="21"/>
      <w:szCs w:val="21"/>
    </w:rPr>
  </w:style>
  <w:style w:type="paragraph" w:styleId="33">
    <w:name w:val="Title"/>
    <w:basedOn w:val="670"/>
    <w:next w:val="670"/>
    <w:link w:val="34"/>
    <w:uiPriority w:val="10"/>
    <w:qFormat/>
    <w:pPr>
      <w:contextualSpacing/>
      <w:spacing w:before="300" w:after="200"/>
    </w:pPr>
    <w:rPr>
      <w:sz w:val="48"/>
      <w:szCs w:val="48"/>
    </w:rPr>
  </w:style>
  <w:style w:type="character" w:styleId="34">
    <w:name w:val="Title Char"/>
    <w:basedOn w:val="674"/>
    <w:link w:val="33"/>
    <w:uiPriority w:val="10"/>
    <w:rPr>
      <w:sz w:val="48"/>
      <w:szCs w:val="48"/>
    </w:rPr>
  </w:style>
  <w:style w:type="paragraph" w:styleId="35">
    <w:name w:val="Subtitle"/>
    <w:basedOn w:val="670"/>
    <w:next w:val="670"/>
    <w:link w:val="36"/>
    <w:uiPriority w:val="11"/>
    <w:qFormat/>
    <w:pPr>
      <w:spacing w:before="200" w:after="200"/>
    </w:pPr>
    <w:rPr>
      <w:sz w:val="24"/>
      <w:szCs w:val="24"/>
    </w:rPr>
  </w:style>
  <w:style w:type="character" w:styleId="36">
    <w:name w:val="Subtitle Char"/>
    <w:basedOn w:val="674"/>
    <w:link w:val="35"/>
    <w:uiPriority w:val="11"/>
    <w:rPr>
      <w:sz w:val="24"/>
      <w:szCs w:val="24"/>
    </w:rPr>
  </w:style>
  <w:style w:type="paragraph" w:styleId="37">
    <w:name w:val="Quote"/>
    <w:basedOn w:val="670"/>
    <w:next w:val="670"/>
    <w:link w:val="38"/>
    <w:uiPriority w:val="29"/>
    <w:qFormat/>
    <w:pPr>
      <w:ind w:left="720" w:right="720"/>
    </w:pPr>
    <w:rPr>
      <w:i/>
    </w:rPr>
  </w:style>
  <w:style w:type="character" w:styleId="38">
    <w:name w:val="Quote Char"/>
    <w:link w:val="37"/>
    <w:uiPriority w:val="29"/>
    <w:rPr>
      <w:i/>
    </w:rPr>
  </w:style>
  <w:style w:type="paragraph" w:styleId="39">
    <w:name w:val="Intense Quote"/>
    <w:basedOn w:val="670"/>
    <w:next w:val="67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70"/>
    <w:link w:val="42"/>
    <w:uiPriority w:val="99"/>
    <w:unhideWhenUsed/>
    <w:pPr>
      <w:spacing w:after="0" w:line="240" w:lineRule="auto"/>
      <w:tabs>
        <w:tab w:val="center" w:pos="7143" w:leader="none"/>
        <w:tab w:val="right" w:pos="14287" w:leader="none"/>
      </w:tabs>
    </w:pPr>
  </w:style>
  <w:style w:type="character" w:styleId="42">
    <w:name w:val="Header Char"/>
    <w:basedOn w:val="674"/>
    <w:link w:val="41"/>
    <w:uiPriority w:val="99"/>
  </w:style>
  <w:style w:type="character" w:styleId="44">
    <w:name w:val="Footer Char"/>
    <w:basedOn w:val="674"/>
    <w:link w:val="683"/>
    <w:uiPriority w:val="99"/>
  </w:style>
  <w:style w:type="paragraph" w:styleId="45">
    <w:name w:val="Caption"/>
    <w:basedOn w:val="670"/>
    <w:next w:val="670"/>
    <w:uiPriority w:val="35"/>
    <w:semiHidden/>
    <w:unhideWhenUsed/>
    <w:qFormat/>
    <w:pPr>
      <w:spacing w:line="276" w:lineRule="auto"/>
    </w:pPr>
    <w:rPr>
      <w:b/>
      <w:bCs/>
      <w:color w:val="4f81bd" w:themeColor="accent1"/>
      <w:sz w:val="18"/>
      <w:szCs w:val="18"/>
    </w:rPr>
  </w:style>
  <w:style w:type="character" w:styleId="46">
    <w:name w:val="Caption Char"/>
    <w:basedOn w:val="45"/>
    <w:link w:val="683"/>
    <w:uiPriority w:val="99"/>
  </w:style>
  <w:style w:type="table" w:styleId="48">
    <w:name w:val="Table Grid Light"/>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7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7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7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7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7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7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7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7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7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7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7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7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7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7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4"/>
    <w:uiPriority w:val="99"/>
    <w:unhideWhenUsed/>
    <w:rPr>
      <w:vertAlign w:val="superscript"/>
    </w:rPr>
  </w:style>
  <w:style w:type="paragraph" w:styleId="177">
    <w:name w:val="endnote text"/>
    <w:basedOn w:val="67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4"/>
    <w:uiPriority w:val="99"/>
    <w:semiHidden/>
    <w:unhideWhenUsed/>
    <w:rPr>
      <w:vertAlign w:val="superscript"/>
    </w:rPr>
  </w:style>
  <w:style w:type="paragraph" w:styleId="180">
    <w:name w:val="toc 1"/>
    <w:basedOn w:val="670"/>
    <w:next w:val="670"/>
    <w:uiPriority w:val="39"/>
    <w:unhideWhenUsed/>
    <w:pPr>
      <w:ind w:left="0" w:right="0" w:firstLine="0"/>
      <w:spacing w:after="57"/>
    </w:pPr>
  </w:style>
  <w:style w:type="paragraph" w:styleId="181">
    <w:name w:val="toc 2"/>
    <w:basedOn w:val="670"/>
    <w:next w:val="670"/>
    <w:uiPriority w:val="39"/>
    <w:unhideWhenUsed/>
    <w:pPr>
      <w:ind w:left="283" w:right="0" w:firstLine="0"/>
      <w:spacing w:after="57"/>
    </w:pPr>
  </w:style>
  <w:style w:type="paragraph" w:styleId="182">
    <w:name w:val="toc 3"/>
    <w:basedOn w:val="670"/>
    <w:next w:val="670"/>
    <w:uiPriority w:val="39"/>
    <w:unhideWhenUsed/>
    <w:pPr>
      <w:ind w:left="567" w:right="0" w:firstLine="0"/>
      <w:spacing w:after="57"/>
    </w:pPr>
  </w:style>
  <w:style w:type="paragraph" w:styleId="183">
    <w:name w:val="toc 4"/>
    <w:basedOn w:val="670"/>
    <w:next w:val="670"/>
    <w:uiPriority w:val="39"/>
    <w:unhideWhenUsed/>
    <w:pPr>
      <w:ind w:left="850" w:right="0" w:firstLine="0"/>
      <w:spacing w:after="57"/>
    </w:pPr>
  </w:style>
  <w:style w:type="paragraph" w:styleId="184">
    <w:name w:val="toc 5"/>
    <w:basedOn w:val="670"/>
    <w:next w:val="670"/>
    <w:uiPriority w:val="39"/>
    <w:unhideWhenUsed/>
    <w:pPr>
      <w:ind w:left="1134" w:right="0" w:firstLine="0"/>
      <w:spacing w:after="57"/>
    </w:pPr>
  </w:style>
  <w:style w:type="paragraph" w:styleId="185">
    <w:name w:val="toc 6"/>
    <w:basedOn w:val="670"/>
    <w:next w:val="670"/>
    <w:uiPriority w:val="39"/>
    <w:unhideWhenUsed/>
    <w:pPr>
      <w:ind w:left="1417" w:right="0" w:firstLine="0"/>
      <w:spacing w:after="57"/>
    </w:pPr>
  </w:style>
  <w:style w:type="paragraph" w:styleId="186">
    <w:name w:val="toc 7"/>
    <w:basedOn w:val="670"/>
    <w:next w:val="670"/>
    <w:uiPriority w:val="39"/>
    <w:unhideWhenUsed/>
    <w:pPr>
      <w:ind w:left="1701" w:right="0" w:firstLine="0"/>
      <w:spacing w:after="57"/>
    </w:pPr>
  </w:style>
  <w:style w:type="paragraph" w:styleId="187">
    <w:name w:val="toc 8"/>
    <w:basedOn w:val="670"/>
    <w:next w:val="670"/>
    <w:uiPriority w:val="39"/>
    <w:unhideWhenUsed/>
    <w:pPr>
      <w:ind w:left="1984" w:right="0" w:firstLine="0"/>
      <w:spacing w:after="57"/>
    </w:pPr>
  </w:style>
  <w:style w:type="paragraph" w:styleId="188">
    <w:name w:val="toc 9"/>
    <w:basedOn w:val="670"/>
    <w:next w:val="670"/>
    <w:uiPriority w:val="39"/>
    <w:unhideWhenUsed/>
    <w:pPr>
      <w:ind w:left="2268" w:right="0" w:firstLine="0"/>
      <w:spacing w:after="57"/>
    </w:pPr>
  </w:style>
  <w:style w:type="paragraph" w:styleId="189">
    <w:name w:val="TOC Heading"/>
    <w:uiPriority w:val="39"/>
    <w:unhideWhenUsed/>
  </w:style>
  <w:style w:type="paragraph" w:styleId="190">
    <w:name w:val="table of figures"/>
    <w:basedOn w:val="670"/>
    <w:next w:val="670"/>
    <w:uiPriority w:val="99"/>
    <w:unhideWhenUsed/>
    <w:pPr>
      <w:spacing w:after="0" w:afterAutospacing="0"/>
    </w:pPr>
  </w:style>
  <w:style w:type="paragraph" w:styleId="670" w:default="1">
    <w:name w:val="Normal"/>
    <w:qFormat/>
    <w:rPr>
      <w:lang w:val="uk-UA"/>
    </w:rPr>
  </w:style>
  <w:style w:type="paragraph" w:styleId="671">
    <w:name w:val="Heading 2"/>
    <w:basedOn w:val="670"/>
    <w:link w:val="692"/>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72">
    <w:name w:val="Heading 3"/>
    <w:basedOn w:val="670"/>
    <w:next w:val="670"/>
    <w:link w:val="709"/>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73">
    <w:name w:val="Heading 4"/>
    <w:basedOn w:val="670"/>
    <w:next w:val="670"/>
    <w:link w:val="710"/>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74" w:default="1">
    <w:name w:val="Default Paragraph Font"/>
    <w:uiPriority w:val="1"/>
    <w:semiHidden/>
    <w:unhideWhenUsed/>
  </w:style>
  <w:style w:type="table" w:styleId="675" w:default="1">
    <w:name w:val="Normal Table"/>
    <w:uiPriority w:val="99"/>
    <w:semiHidden/>
    <w:unhideWhenUsed/>
    <w:tblPr>
      <w:tblInd w:w="0" w:type="dxa"/>
      <w:tblCellMar>
        <w:left w:w="108" w:type="dxa"/>
        <w:top w:w="0" w:type="dxa"/>
        <w:right w:w="108" w:type="dxa"/>
        <w:bottom w:w="0" w:type="dxa"/>
      </w:tblCellMar>
    </w:tblPr>
  </w:style>
  <w:style w:type="numbering" w:styleId="676" w:default="1">
    <w:name w:val="No List"/>
    <w:uiPriority w:val="99"/>
    <w:semiHidden/>
    <w:unhideWhenUsed/>
  </w:style>
  <w:style w:type="paragraph" w:styleId="677">
    <w:name w:val="List Paragraph"/>
    <w:basedOn w:val="670"/>
    <w:link w:val="678"/>
    <w:uiPriority w:val="34"/>
    <w:qFormat/>
    <w:pPr>
      <w:contextualSpacing/>
      <w:ind w:left="720"/>
      <w:spacing w:after="200" w:line="276" w:lineRule="auto"/>
    </w:pPr>
    <w:rPr>
      <w:rFonts w:ascii="Calibri" w:hAnsi="Calibri" w:eastAsia="Calibri" w:cs="Calibri"/>
      <w:lang w:val="ru-RU" w:eastAsia="zh-CN"/>
    </w:rPr>
  </w:style>
  <w:style w:type="character" w:styleId="678" w:customStyle="1">
    <w:name w:val="Абзац списку Знак"/>
    <w:link w:val="677"/>
    <w:uiPriority w:val="34"/>
    <w:qFormat/>
    <w:rPr>
      <w:rFonts w:ascii="Calibri" w:hAnsi="Calibri" w:eastAsia="Calibri" w:cs="Calibri"/>
      <w:lang w:eastAsia="zh-CN"/>
    </w:rPr>
  </w:style>
  <w:style w:type="table" w:styleId="679">
    <w:name w:val="Table Grid"/>
    <w:basedOn w:val="675"/>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80" w:customStyle="1">
    <w:name w:val="Сетка таблицы2"/>
    <w:basedOn w:val="675"/>
    <w:next w:val="679"/>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1">
    <w:name w:val="Normal (Web)"/>
    <w:basedOn w:val="670"/>
    <w:link w:val="688"/>
    <w:unhideWhenUsed/>
    <w:qFormat/>
    <w:rPr>
      <w:rFonts w:ascii="Times New Roman" w:hAnsi="Times New Roman" w:cs="Times New Roman"/>
      <w:sz w:val="24"/>
      <w:szCs w:val="24"/>
    </w:rPr>
  </w:style>
  <w:style w:type="table" w:styleId="682" w:customStyle="1">
    <w:name w:val="Сетка таблицы1"/>
    <w:basedOn w:val="675"/>
    <w:next w:val="679"/>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83">
    <w:name w:val="Footer"/>
    <w:basedOn w:val="670"/>
    <w:link w:val="684"/>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4" w:customStyle="1">
    <w:name w:val="Нижній колонтитул Знак"/>
    <w:basedOn w:val="674"/>
    <w:link w:val="683"/>
    <w:uiPriority w:val="99"/>
    <w:rPr>
      <w:rFonts w:ascii="Calibri" w:hAnsi="Calibri" w:eastAsia="Calibri" w:cs="Calibri"/>
      <w:lang w:eastAsia="zh-CN"/>
    </w:rPr>
  </w:style>
  <w:style w:type="paragraph" w:styleId="685"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6">
    <w:name w:val="Hyperlink"/>
    <w:basedOn w:val="674"/>
    <w:uiPriority w:val="99"/>
    <w:unhideWhenUsed/>
    <w:rPr>
      <w:color w:val="0563c1" w:themeColor="hyperlink"/>
      <w:u w:val="single"/>
    </w:rPr>
  </w:style>
  <w:style w:type="character" w:styleId="687" w:customStyle="1">
    <w:name w:val="xfm_93972720"/>
    <w:basedOn w:val="674"/>
  </w:style>
  <w:style w:type="character" w:styleId="688" w:customStyle="1">
    <w:name w:val="Звичайний (веб) Знак"/>
    <w:link w:val="681"/>
    <w:qFormat/>
    <w:rPr>
      <w:rFonts w:ascii="Times New Roman" w:hAnsi="Times New Roman" w:cs="Times New Roman"/>
      <w:sz w:val="24"/>
      <w:szCs w:val="24"/>
      <w:lang w:val="uk-UA"/>
    </w:rPr>
  </w:style>
  <w:style w:type="paragraph" w:styleId="689">
    <w:name w:val="Body Text 2"/>
    <w:basedOn w:val="670"/>
    <w:link w:val="690"/>
    <w:pPr>
      <w:spacing w:after="0" w:line="240" w:lineRule="auto"/>
    </w:pPr>
    <w:rPr>
      <w:rFonts w:ascii="Times New Roman" w:hAnsi="Times New Roman" w:eastAsia="Times New Roman" w:cs="Times New Roman"/>
      <w:sz w:val="28"/>
      <w:szCs w:val="20"/>
      <w:lang w:val="ru-RU" w:eastAsia="ru-RU"/>
    </w:rPr>
  </w:style>
  <w:style w:type="character" w:styleId="690" w:customStyle="1">
    <w:name w:val="Основний текст 2 Знак"/>
    <w:basedOn w:val="674"/>
    <w:link w:val="689"/>
    <w:rPr>
      <w:rFonts w:ascii="Times New Roman" w:hAnsi="Times New Roman" w:eastAsia="Times New Roman" w:cs="Times New Roman"/>
      <w:sz w:val="28"/>
      <w:szCs w:val="20"/>
      <w:lang w:eastAsia="ru-RU"/>
    </w:rPr>
  </w:style>
  <w:style w:type="paragraph" w:styleId="691"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92" w:customStyle="1">
    <w:name w:val="Заголовок 2 Знак"/>
    <w:basedOn w:val="674"/>
    <w:link w:val="671"/>
    <w:uiPriority w:val="9"/>
    <w:rPr>
      <w:rFonts w:ascii="Times New Roman" w:hAnsi="Times New Roman" w:eastAsia="Times New Roman" w:cs="Times New Roman"/>
      <w:b/>
      <w:bCs/>
      <w:sz w:val="36"/>
      <w:szCs w:val="36"/>
      <w:lang w:val="uk-UA" w:eastAsia="uk-UA"/>
    </w:rPr>
  </w:style>
  <w:style w:type="paragraph" w:styleId="693">
    <w:name w:val="No Spacing"/>
    <w:link w:val="694"/>
    <w:uiPriority w:val="1"/>
    <w:qFormat/>
    <w:pPr>
      <w:spacing w:after="0" w:line="240" w:lineRule="auto"/>
    </w:pPr>
    <w:rPr>
      <w:rFonts w:ascii="Calibri" w:hAnsi="Calibri" w:eastAsia="Calibri" w:cs="Times New Roman"/>
      <w:lang w:val="uk-UA"/>
    </w:rPr>
  </w:style>
  <w:style w:type="character" w:styleId="694" w:customStyle="1">
    <w:name w:val="Без інтервалів Знак"/>
    <w:basedOn w:val="674"/>
    <w:link w:val="693"/>
    <w:uiPriority w:val="1"/>
    <w:rPr>
      <w:rFonts w:ascii="Calibri" w:hAnsi="Calibri" w:eastAsia="Calibri" w:cs="Times New Roman"/>
      <w:lang w:val="uk-UA"/>
    </w:rPr>
  </w:style>
  <w:style w:type="character" w:styleId="695" w:customStyle="1">
    <w:name w:val="Другое_"/>
    <w:basedOn w:val="674"/>
    <w:link w:val="696"/>
    <w:rPr>
      <w:rFonts w:ascii="Calibri" w:hAnsi="Calibri" w:eastAsia="Calibri" w:cs="Calibri"/>
      <w:sz w:val="20"/>
      <w:szCs w:val="20"/>
    </w:rPr>
  </w:style>
  <w:style w:type="paragraph" w:styleId="696" w:customStyle="1">
    <w:name w:val="Другое"/>
    <w:basedOn w:val="670"/>
    <w:link w:val="695"/>
    <w:qFormat/>
    <w:pPr>
      <w:spacing w:after="0" w:line="240" w:lineRule="auto"/>
      <w:widowControl w:val="off"/>
    </w:pPr>
    <w:rPr>
      <w:rFonts w:ascii="Calibri" w:hAnsi="Calibri" w:eastAsia="Calibri" w:cs="Calibri"/>
      <w:sz w:val="20"/>
      <w:szCs w:val="20"/>
      <w:lang w:val="ru-RU"/>
    </w:rPr>
  </w:style>
  <w:style w:type="paragraph" w:styleId="697"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8" w:customStyle="1">
    <w:name w:val="Основной текст (2)_"/>
    <w:basedOn w:val="674"/>
    <w:link w:val="699"/>
    <w:rPr>
      <w:rFonts w:eastAsia="Times New Roman" w:cs="Times New Roman"/>
      <w:shd w:val="clear" w:color="auto" w:fill="ffffff"/>
    </w:rPr>
  </w:style>
  <w:style w:type="paragraph" w:styleId="699" w:customStyle="1">
    <w:name w:val="Основной текст (2)"/>
    <w:basedOn w:val="670"/>
    <w:link w:val="698"/>
    <w:pPr>
      <w:ind w:hanging="700"/>
      <w:jc w:val="both"/>
      <w:spacing w:before="240" w:after="480" w:line="0" w:lineRule="atLeast"/>
      <w:shd w:val="clear" w:color="auto" w:fill="ffffff"/>
      <w:widowControl w:val="off"/>
    </w:pPr>
    <w:rPr>
      <w:rFonts w:eastAsia="Times New Roman" w:cs="Times New Roman"/>
      <w:lang w:val="ru-RU"/>
    </w:rPr>
  </w:style>
  <w:style w:type="character" w:styleId="700" w:customStyle="1">
    <w:name w:val="Текст у виносці Знак"/>
    <w:basedOn w:val="674"/>
    <w:link w:val="701"/>
    <w:uiPriority w:val="99"/>
    <w:semiHidden/>
    <w:rPr>
      <w:rFonts w:ascii="Segoe UI" w:hAnsi="Segoe UI" w:eastAsia="Times New Roman" w:cs="Segoe UI"/>
      <w:sz w:val="18"/>
      <w:szCs w:val="18"/>
      <w:lang w:eastAsia="ru-RU"/>
    </w:rPr>
  </w:style>
  <w:style w:type="paragraph" w:styleId="701">
    <w:name w:val="Balloon Text"/>
    <w:basedOn w:val="670"/>
    <w:link w:val="700"/>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02" w:customStyle="1">
    <w:name w:val="Текст у виносці Знак1"/>
    <w:basedOn w:val="674"/>
    <w:uiPriority w:val="99"/>
    <w:semiHidden/>
    <w:rPr>
      <w:rFonts w:ascii="Segoe UI" w:hAnsi="Segoe UI" w:cs="Segoe UI"/>
      <w:sz w:val="18"/>
      <w:szCs w:val="18"/>
      <w:lang w:val="uk-UA"/>
    </w:rPr>
  </w:style>
  <w:style w:type="character" w:styleId="703" w:customStyle="1">
    <w:name w:val="T23"/>
    <w:rPr>
      <w:rFonts w:hint="default" w:ascii="Times New Roman" w:hAnsi="Times New Roman" w:eastAsia="Times New Roman1" w:cs="Times New Roman"/>
    </w:rPr>
  </w:style>
  <w:style w:type="paragraph" w:styleId="704" w:customStyle="1">
    <w:name w:val="Абзац списку1"/>
    <w:basedOn w:val="670"/>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5" w:customStyle="1">
    <w:name w:val="markedcontent"/>
    <w:basedOn w:val="674"/>
  </w:style>
  <w:style w:type="paragraph" w:styleId="706">
    <w:name w:val="annotation text"/>
    <w:basedOn w:val="670"/>
    <w:link w:val="707"/>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7" w:customStyle="1">
    <w:name w:val="Текст примітки Знак"/>
    <w:basedOn w:val="674"/>
    <w:link w:val="706"/>
    <w:uiPriority w:val="99"/>
    <w:rPr>
      <w:rFonts w:ascii="Times New Roman" w:hAnsi="Times New Roman" w:eastAsia="Times New Roman" w:cs="Times New Roman"/>
      <w:sz w:val="20"/>
      <w:szCs w:val="20"/>
      <w:lang w:eastAsia="ru-RU"/>
    </w:rPr>
  </w:style>
  <w:style w:type="character" w:styleId="708" w:customStyle="1">
    <w:name w:val="docdata"/>
    <w:basedOn w:val="674"/>
  </w:style>
  <w:style w:type="character" w:styleId="709" w:customStyle="1">
    <w:name w:val="Заголовок 3 Знак"/>
    <w:basedOn w:val="674"/>
    <w:link w:val="672"/>
    <w:uiPriority w:val="9"/>
    <w:semiHidden/>
    <w:rPr>
      <w:rFonts w:asciiTheme="majorHAnsi" w:hAnsiTheme="majorHAnsi" w:eastAsiaTheme="majorEastAsia" w:cstheme="majorBidi"/>
      <w:color w:val="1f4d78" w:themeColor="accent1" w:themeShade="7F"/>
      <w:sz w:val="24"/>
      <w:szCs w:val="24"/>
      <w:lang w:val="uk-UA"/>
    </w:rPr>
  </w:style>
  <w:style w:type="character" w:styleId="710" w:customStyle="1">
    <w:name w:val="Заголовок 4 Знак"/>
    <w:basedOn w:val="674"/>
    <w:link w:val="673"/>
    <w:uiPriority w:val="9"/>
    <w:semiHidden/>
    <w:rPr>
      <w:rFonts w:asciiTheme="majorHAnsi" w:hAnsiTheme="majorHAnsi" w:eastAsiaTheme="majorEastAsia" w:cstheme="majorBidi"/>
      <w:i/>
      <w:iCs/>
      <w:color w:val="2e74b5" w:themeColor="accent1" w:themeShade="BF"/>
      <w:lang w:val="uk-UA"/>
    </w:rPr>
  </w:style>
  <w:style w:type="paragraph" w:styleId="711" w:customStyle="1">
    <w:name w:val="name-spec"/>
    <w:basedOn w:val="670"/>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12" w:customStyle="1">
    <w:name w:val="cont-spec"/>
    <w:basedOn w:val="670"/>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13">
    <w:name w:val="Strong"/>
    <w:basedOn w:val="674"/>
    <w:uiPriority w:val="22"/>
    <w:qFormat/>
    <w:rPr>
      <w:b/>
      <w:bCs/>
    </w:rPr>
  </w:style>
  <w:style w:type="paragraph" w:styleId="714" w:customStyle="1">
    <w:name w:val="rvps6"/>
    <w:basedOn w:val="670"/>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15"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2024-05-13T10:01:15Z</dcterms:modified>
</cp:coreProperties>
</file>