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із створення комплексної системи захисту інформації  для отримання безпосереднього доступу до Єдиного державного реєстру транспортних засобів, за кодом CPV за ЄЗС ДК 021:2015 – 72240000-9 «Послуги з аналізу та програмування систем»</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29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4142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із створення комплексної системи захисту інформації  для отримання безпосереднього доступу до Єдиного державного реєстру транспортних засобів, за кодом CPV за ЄЗС ДК 021:2015 – 72240000-9 «Послуги з аналізу та програмування систем»</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ТЕХНІЧНЕ ЗАВДАННЯ</w:t>
      </w:r>
      <w:r/>
    </w:p>
    <w:p>
      <w:pPr>
        <w:jc w:val="center"/>
        <w:spacing w:after="0" w:line="240" w:lineRule="auto"/>
        <w:rPr>
          <w:rFonts w:ascii="Times New Roman" w:hAnsi="Times New Roman"/>
          <w:b/>
          <w:bCs/>
          <w:sz w:val="24"/>
          <w:szCs w:val="24"/>
        </w:rPr>
      </w:pPr>
      <w:r>
        <w:rPr>
          <w:rFonts w:ascii="Times New Roman" w:hAnsi="Times New Roman"/>
          <w:b/>
          <w:bCs/>
          <w:sz w:val="24"/>
          <w:szCs w:val="24"/>
        </w:rPr>
        <w:t xml:space="preserve">Інформація про необхідні технічні, якісні та кількісні характеристики </w:t>
      </w:r>
      <w:r/>
    </w:p>
    <w:p>
      <w:pPr>
        <w:jc w:val="center"/>
        <w:spacing w:after="0" w:line="240" w:lineRule="auto"/>
        <w:rPr>
          <w:rFonts w:ascii="Times New Roman" w:hAnsi="Times New Roman"/>
          <w:b/>
          <w:bCs/>
          <w:sz w:val="24"/>
          <w:szCs w:val="24"/>
        </w:rPr>
      </w:pPr>
      <w:r>
        <w:rPr>
          <w:rFonts w:ascii="Times New Roman" w:hAnsi="Times New Roman"/>
          <w:b/>
          <w:bCs/>
          <w:sz w:val="24"/>
          <w:szCs w:val="24"/>
        </w:rPr>
        <w:t xml:space="preserve">предмета закупівлі</w:t>
      </w:r>
      <w:r/>
    </w:p>
    <w:p>
      <w:pPr>
        <w:jc w:val="center"/>
        <w:spacing w:after="0" w:line="240" w:lineRule="auto"/>
        <w:rPr>
          <w:rFonts w:ascii="Times New Roman" w:hAnsi="Times New Roman"/>
          <w:b/>
          <w:bCs/>
          <w:sz w:val="24"/>
          <w:szCs w:val="24"/>
        </w:rPr>
      </w:pPr>
      <w:r>
        <w:rPr>
          <w:rFonts w:ascii="Times New Roman" w:hAnsi="Times New Roman"/>
          <w:b/>
          <w:bCs/>
          <w:sz w:val="24"/>
          <w:szCs w:val="24"/>
        </w:rPr>
      </w:r>
      <w:r/>
    </w:p>
    <w:tbl>
      <w:tblPr>
        <w:tblW w:w="5000" w:type="pct"/>
        <w:tblLayout w:type="fixed"/>
        <w:tblCellMar>
          <w:left w:w="100" w:type="dxa"/>
          <w:top w:w="100" w:type="dxa"/>
          <w:right w:w="100" w:type="dxa"/>
          <w:bottom w:w="100" w:type="dxa"/>
        </w:tblCellMar>
        <w:tblLook w:val="0600" w:firstRow="0" w:lastRow="0" w:firstColumn="0" w:lastColumn="0" w:noHBand="1" w:noVBand="1"/>
      </w:tblPr>
      <w:tblGrid>
        <w:gridCol w:w="4376"/>
        <w:gridCol w:w="5241"/>
      </w:tblGrid>
      <w:tr>
        <w:trPr>
          <w:trHeight w:val="896"/>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sz w:val="24"/>
                <w:szCs w:val="24"/>
              </w:rPr>
            </w:pPr>
            <w:r>
              <w:rPr>
                <w:rFonts w:ascii="Times New Roman" w:hAnsi="Times New Roman"/>
                <w:sz w:val="24"/>
                <w:szCs w:val="24"/>
              </w:rPr>
              <w:t xml:space="preserve">Назва </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jc w:val="both"/>
              <w:spacing w:after="0" w:line="240" w:lineRule="auto"/>
              <w:widowControl w:val="off"/>
              <w:tabs>
                <w:tab w:val="left" w:pos="5220" w:leader="none"/>
              </w:tabs>
              <w:rPr>
                <w:rFonts w:ascii="Times New Roman" w:hAnsi="Times New Roman"/>
                <w:sz w:val="24"/>
                <w:szCs w:val="24"/>
              </w:rPr>
            </w:pPr>
            <w:r>
              <w:rPr>
                <w:rFonts w:ascii="Times New Roman" w:hAnsi="Times New Roman"/>
                <w:sz w:val="24"/>
                <w:szCs w:val="24"/>
              </w:rPr>
              <w:t xml:space="preserve">Послуги із створення комплексної системи захисту інформації  для отримання безпосереднього доступу до Єдиного державного реєстру транспортних засобів</w:t>
            </w:r>
            <w:bookmarkStart w:id="0" w:name="_Hlk161168300"/>
            <w:r/>
            <w:bookmarkEnd w:id="0"/>
            <w:r/>
            <w:r/>
          </w:p>
        </w:tc>
      </w:tr>
      <w:tr>
        <w:trPr>
          <w:trHeight w:val="243"/>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sz w:val="24"/>
                <w:szCs w:val="24"/>
              </w:rPr>
            </w:pPr>
            <w:r>
              <w:rPr>
                <w:rFonts w:ascii="Times New Roman" w:hAnsi="Times New Roman"/>
                <w:sz w:val="24"/>
                <w:szCs w:val="24"/>
              </w:rPr>
              <w:t xml:space="preserve">Код ДК 021:2015</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pStyle w:val="760"/>
              <w:widowControl w:val="off"/>
              <w:rPr>
                <w:rFonts w:ascii="Times New Roman" w:hAnsi="Times New Roman" w:eastAsia="Times New Roman"/>
                <w:b/>
                <w:sz w:val="24"/>
                <w:szCs w:val="24"/>
              </w:rPr>
            </w:pPr>
            <w:r>
              <w:rPr>
                <w:rFonts w:ascii="Times New Roman" w:hAnsi="Times New Roman" w:eastAsia="Times New Roman"/>
                <w:sz w:val="24"/>
                <w:szCs w:val="24"/>
              </w:rPr>
              <w:t xml:space="preserve">72240000-9 «Послуги з аналізу та програмування систем»</w:t>
            </w:r>
            <w:r/>
          </w:p>
        </w:tc>
      </w:tr>
      <w:tr>
        <w:trPr>
          <w:trHeight w:val="25"/>
        </w:trPr>
        <w:tc>
          <w:tcPr>
            <w:shd w:val="clear" w:color="auto" w:fill="auto"/>
            <w:tcBorders>
              <w:top w:val="single" w:color="000000" w:sz="8" w:space="0"/>
              <w:left w:val="single" w:color="000000" w:sz="8" w:space="0"/>
              <w:bottom w:val="single" w:color="000000" w:sz="8" w:space="0"/>
              <w:right w:val="single" w:color="000000" w:sz="8" w:space="0"/>
            </w:tcBorders>
            <w:tcW w:w="4755" w:type="dxa"/>
            <w:textDirection w:val="lrTb"/>
            <w:noWrap w:val="false"/>
          </w:tcPr>
          <w:p>
            <w:pPr>
              <w:spacing w:after="0" w:line="240" w:lineRule="auto"/>
              <w:widowControl w:val="off"/>
              <w:rPr>
                <w:rFonts w:ascii="Times New Roman" w:hAnsi="Times New Roman"/>
                <w:sz w:val="24"/>
                <w:szCs w:val="24"/>
              </w:rPr>
            </w:pPr>
            <w:r>
              <w:rPr>
                <w:rFonts w:ascii="Times New Roman" w:hAnsi="Times New Roman"/>
                <w:sz w:val="24"/>
                <w:szCs w:val="24"/>
              </w:rPr>
              <w:t xml:space="preserve">Строк надання послуг</w:t>
            </w:r>
            <w:r/>
          </w:p>
        </w:tc>
        <w:tc>
          <w:tcPr>
            <w:shd w:val="clear" w:color="auto" w:fill="auto"/>
            <w:tcBorders>
              <w:top w:val="single" w:color="000000" w:sz="8" w:space="0"/>
              <w:left w:val="single" w:color="000000" w:sz="8" w:space="0"/>
              <w:bottom w:val="single" w:color="000000" w:sz="8" w:space="0"/>
              <w:right w:val="single" w:color="000000" w:sz="8" w:space="0"/>
            </w:tcBorders>
            <w:tcW w:w="5700" w:type="dxa"/>
            <w:textDirection w:val="lrTb"/>
            <w:noWrap w:val="false"/>
          </w:tcPr>
          <w:p>
            <w:pPr>
              <w:spacing w:after="0" w:line="240" w:lineRule="auto"/>
              <w:widowControl w:val="off"/>
              <w:rPr>
                <w:rFonts w:ascii="Times New Roman" w:hAnsi="Times New Roman"/>
                <w:sz w:val="24"/>
                <w:szCs w:val="24"/>
              </w:rPr>
            </w:pPr>
            <w:r>
              <w:rPr>
                <w:rFonts w:ascii="Times New Roman" w:hAnsi="Times New Roman"/>
                <w:sz w:val="24"/>
                <w:szCs w:val="24"/>
              </w:rPr>
              <w:t xml:space="preserve">до 26.10.2024 </w:t>
            </w:r>
            <w:r/>
          </w:p>
        </w:tc>
      </w:tr>
    </w:tbl>
    <w:p>
      <w:pPr>
        <w:pStyle w:val="760"/>
        <w:ind w:firstLine="567"/>
        <w:jc w:val="both"/>
        <w:rPr>
          <w:rFonts w:ascii="Times New Roman" w:hAnsi="Times New Roman"/>
          <w:sz w:val="24"/>
          <w:szCs w:val="24"/>
        </w:rPr>
      </w:pPr>
      <w:r>
        <w:rPr>
          <w:rFonts w:ascii="Times New Roman" w:hAnsi="Times New Roman"/>
          <w:sz w:val="24"/>
          <w:szCs w:val="24"/>
        </w:rPr>
      </w:r>
      <w:r/>
    </w:p>
    <w:p>
      <w:pPr>
        <w:pStyle w:val="760"/>
        <w:ind w:firstLine="567"/>
        <w:jc w:val="both"/>
        <w:rPr>
          <w:rFonts w:ascii="Times New Roman" w:hAnsi="Times New Roman"/>
          <w:sz w:val="24"/>
          <w:szCs w:val="24"/>
        </w:rPr>
      </w:pPr>
      <w:r>
        <w:rPr>
          <w:rFonts w:ascii="Times New Roman" w:hAnsi="Times New Roman"/>
          <w:sz w:val="24"/>
          <w:szCs w:val="24"/>
        </w:rPr>
      </w:r>
      <w:r/>
    </w:p>
    <w:p>
      <w:pPr>
        <w:numPr>
          <w:ilvl w:val="0"/>
          <w:numId w:val="43"/>
        </w:numPr>
        <w:jc w:val="both"/>
        <w:spacing w:before="120" w:after="0" w:line="240" w:lineRule="auto"/>
        <w:widowControl w:val="off"/>
        <w:rPr>
          <w:rFonts w:ascii="Times New Roman" w:hAnsi="Times New Roman"/>
          <w:b/>
          <w:bCs/>
          <w:sz w:val="24"/>
          <w:szCs w:val="24"/>
        </w:rPr>
      </w:pPr>
      <w:r/>
      <w:bookmarkStart w:id="1" w:name="_Hlk169014978"/>
      <w:r/>
      <w:bookmarkStart w:id="2" w:name="_Hlk127871027"/>
      <w:r/>
      <w:bookmarkStart w:id="3" w:name="_Hlk147315479"/>
      <w:r>
        <w:rPr>
          <w:rFonts w:ascii="Times New Roman" w:hAnsi="Times New Roman"/>
          <w:b/>
          <w:bCs/>
          <w:sz w:val="24"/>
          <w:szCs w:val="24"/>
        </w:rPr>
        <w:t xml:space="preserve">Загальні вимоги</w:t>
      </w:r>
      <w:r/>
    </w:p>
    <w:p>
      <w:pPr>
        <w:ind w:firstLine="708"/>
        <w:jc w:val="both"/>
        <w:spacing w:before="120" w:after="0" w:line="240" w:lineRule="auto"/>
        <w:widowControl w:val="off"/>
        <w:rPr>
          <w:rFonts w:ascii="Times New Roman" w:hAnsi="Times New Roman"/>
          <w:sz w:val="24"/>
          <w:szCs w:val="24"/>
        </w:rPr>
      </w:pPr>
      <w:r>
        <w:rPr>
          <w:rFonts w:ascii="Times New Roman" w:hAnsi="Times New Roman"/>
          <w:sz w:val="24"/>
          <w:szCs w:val="24"/>
        </w:rPr>
        <w:t xml:space="preserve">Послуги із створення комплексної системи захисту інформації (далі – КСЗІ) для отримання безпосереднього доступу до Єдиного державного реєстру транспортних засобів (далі – ЄДРТЗ) для семи автоматизованих робочих місць</w:t>
      </w:r>
      <w:bookmarkEnd w:id="1"/>
      <w:r>
        <w:rPr>
          <w:rFonts w:ascii="Times New Roman" w:hAnsi="Times New Roman"/>
          <w:sz w:val="24"/>
          <w:szCs w:val="24"/>
        </w:rPr>
        <w:t xml:space="preserve">, розташованих на першому поверсі будівлі Галузевого державного архіву Міністерства внутрішніх спр</w:t>
      </w:r>
      <w:r>
        <w:rPr>
          <w:rFonts w:ascii="Times New Roman" w:hAnsi="Times New Roman"/>
          <w:sz w:val="24"/>
          <w:szCs w:val="24"/>
        </w:rPr>
        <w:t xml:space="preserve">ав України, які на праві власності належать Міністерству внутрішніх справ України (далі – МВС України) та обліковується на балансі Державної установи «Центр інфраструктури та технологій Міністерства внутрішніх справ України» (далі – ДУ ЦІТ МВС України) за </w:t>
      </w:r>
      <w:r>
        <w:rPr>
          <w:rFonts w:ascii="Times New Roman" w:hAnsi="Times New Roman"/>
          <w:sz w:val="24"/>
          <w:szCs w:val="24"/>
        </w:rPr>
        <w:t xml:space="preserve">адресою</w:t>
      </w:r>
      <w:r>
        <w:rPr>
          <w:rFonts w:ascii="Times New Roman" w:hAnsi="Times New Roman"/>
          <w:sz w:val="24"/>
          <w:szCs w:val="24"/>
        </w:rPr>
        <w:t xml:space="preserve">: вул. Волинська, 26, м. Київ.</w:t>
      </w:r>
      <w:r/>
    </w:p>
    <w:p>
      <w:pPr>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Передумовою необхідності отримання доступу співробітників ДУ ЦІТ МВС України до ЄДРТЗ, який є складовою частиною єдиної інформаційної системи МВС України, є надання </w:t>
      </w:r>
      <w:r>
        <w:rPr>
          <w:rFonts w:ascii="Times New Roman" w:hAnsi="Times New Roman"/>
          <w:sz w:val="24"/>
          <w:szCs w:val="24"/>
        </w:rPr>
        <w:t xml:space="preserve">можливос</w:t>
      </w:r>
      <w:r>
        <w:rPr>
          <w:rFonts w:ascii="Times New Roman" w:hAnsi="Times New Roman"/>
          <w:sz w:val="24"/>
          <w:szCs w:val="24"/>
        </w:rPr>
        <w:t xml:space="preserve">ті вчасного реагування на помилки, пов’язані з обміном даними між Системою фіксації адміністративних правопорушень у сфері забезпечення безпеки дорожнього руху в автоматичному режимі і ЄДРТЗ, а також покращення електронної інформаційної взаємодії між ними.</w:t>
      </w:r>
      <w:r/>
    </w:p>
    <w:p>
      <w:pPr>
        <w:ind w:right="-2" w:firstLine="709"/>
        <w:jc w:val="both"/>
        <w:spacing w:before="120" w:after="0" w:line="240" w:lineRule="auto"/>
        <w:widowControl w:val="off"/>
        <w:rPr>
          <w:rFonts w:ascii="Times New Roman" w:hAnsi="Times New Roman"/>
          <w:sz w:val="24"/>
          <w:szCs w:val="24"/>
          <w:lang w:eastAsia="ru-RU"/>
        </w:rPr>
      </w:pPr>
      <w:r>
        <w:rPr>
          <w:rFonts w:ascii="Times New Roman" w:hAnsi="Times New Roman"/>
          <w:sz w:val="24"/>
          <w:szCs w:val="24"/>
          <w:lang w:eastAsia="ru-RU"/>
        </w:rPr>
        <w:t xml:space="preserve">Нормативно-правові акти:</w:t>
      </w:r>
      <w:r/>
    </w:p>
    <w:p>
      <w:pPr>
        <w:numPr>
          <w:ilvl w:val="0"/>
          <w:numId w:val="44"/>
        </w:numPr>
        <w:ind w:left="0" w:firstLine="709"/>
        <w:jc w:val="both"/>
        <w:spacing w:before="120" w:after="0" w:line="240" w:lineRule="auto"/>
        <w:shd w:val="clear" w:color="auto" w:fill="ffffff"/>
        <w:widowControl w:val="off"/>
        <w:tabs>
          <w:tab w:val="left" w:pos="1134" w:leader="none"/>
        </w:tabs>
        <w:rPr>
          <w:rFonts w:ascii="Times New Roman" w:hAnsi="Times New Roman"/>
          <w:color w:val="333333"/>
          <w:sz w:val="24"/>
          <w:szCs w:val="24"/>
          <w:lang w:eastAsia="uk-UA"/>
        </w:rPr>
      </w:pPr>
      <w:r>
        <w:rPr>
          <w:rFonts w:ascii="Times New Roman" w:hAnsi="Times New Roman"/>
          <w:color w:val="333333"/>
          <w:sz w:val="24"/>
          <w:szCs w:val="24"/>
          <w:lang w:eastAsia="uk-UA"/>
        </w:rPr>
        <w:t xml:space="preserve">Постанова Кабінету Міністрів України від 14.11.2018 № 1024 «Про затвердження Положення про єдину інформаційну систему Міністерства внутрішніх справ та переліку її пріоритетних інформаційних ресурсів».</w:t>
      </w:r>
      <w:r/>
    </w:p>
    <w:p>
      <w:pPr>
        <w:numPr>
          <w:ilvl w:val="0"/>
          <w:numId w:val="44"/>
        </w:numPr>
        <w:ind w:left="0" w:firstLine="709"/>
        <w:jc w:val="both"/>
        <w:spacing w:before="120" w:after="0" w:line="240" w:lineRule="auto"/>
        <w:shd w:val="clear" w:color="auto" w:fill="ffffff"/>
        <w:widowControl w:val="off"/>
        <w:tabs>
          <w:tab w:val="left" w:pos="1134" w:leader="none"/>
        </w:tabs>
        <w:rPr>
          <w:rFonts w:ascii="Times New Roman" w:hAnsi="Times New Roman"/>
          <w:color w:val="333333"/>
          <w:sz w:val="24"/>
          <w:szCs w:val="24"/>
          <w:lang w:eastAsia="uk-UA"/>
        </w:rPr>
      </w:pPr>
      <w:r>
        <w:rPr>
          <w:rFonts w:ascii="Times New Roman" w:hAnsi="Times New Roman"/>
          <w:color w:val="333333"/>
          <w:sz w:val="24"/>
          <w:szCs w:val="24"/>
          <w:lang w:eastAsia="uk-UA"/>
        </w:rPr>
        <w:t xml:space="preserve">Постанова Кабінету Міністрів України від 25.03.2016 № 260 «Деякі питання надання інформації про зареєстровані транспортні засоби, їх власників та належних користувачів».</w:t>
      </w:r>
      <w:bookmarkEnd w:id="2"/>
      <w:r/>
      <w:r/>
    </w:p>
    <w:p>
      <w:pPr>
        <w:numPr>
          <w:ilvl w:val="0"/>
          <w:numId w:val="43"/>
        </w:numPr>
        <w:ind w:right="-2"/>
        <w:spacing w:before="120" w:after="0" w:line="240" w:lineRule="auto"/>
        <w:widowControl w:val="off"/>
        <w:rPr>
          <w:rFonts w:ascii="Times New Roman" w:hAnsi="Times New Roman"/>
          <w:b/>
          <w:bCs/>
          <w:sz w:val="24"/>
          <w:szCs w:val="24"/>
          <w:lang w:eastAsia="ru-RU"/>
        </w:rPr>
      </w:pPr>
      <w:r>
        <w:rPr>
          <w:rFonts w:ascii="Times New Roman" w:hAnsi="Times New Roman"/>
          <w:b/>
          <w:bCs/>
          <w:sz w:val="24"/>
          <w:szCs w:val="24"/>
          <w:lang w:eastAsia="ru-RU"/>
        </w:rPr>
        <w:t xml:space="preserve">Вимоги до змісту послуг</w:t>
      </w:r>
      <w:r/>
    </w:p>
    <w:p>
      <w:pPr>
        <w:ind w:right="-2" w:firstLine="709"/>
        <w:jc w:val="both"/>
        <w:spacing w:before="120" w:after="0" w:line="240" w:lineRule="auto"/>
        <w:widowControl w:val="off"/>
        <w:rPr>
          <w:rFonts w:ascii="Times New Roman" w:hAnsi="Times New Roman"/>
          <w:sz w:val="24"/>
          <w:szCs w:val="24"/>
          <w:lang w:eastAsia="ru-RU"/>
        </w:rPr>
      </w:pPr>
      <w:r>
        <w:rPr>
          <w:rFonts w:ascii="Times New Roman" w:hAnsi="Times New Roman"/>
          <w:sz w:val="24"/>
          <w:szCs w:val="24"/>
          <w:lang w:eastAsia="ru-RU"/>
        </w:rPr>
        <w:t xml:space="preserve">В рамках заходів з отримання безпосереднього доступу до ЄДРТЗ виконавець повинен забезпечити надання таких послуг:</w:t>
      </w:r>
      <w:r/>
    </w:p>
    <w:p>
      <w:pPr>
        <w:numPr>
          <w:ilvl w:val="0"/>
          <w:numId w:val="45"/>
        </w:numPr>
        <w:ind w:left="0" w:right="-2"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Встановлення та налаштування на робочій станції програмного забезпечення:</w:t>
      </w:r>
      <w:r/>
    </w:p>
    <w:p>
      <w:pPr>
        <w:numPr>
          <w:ilvl w:val="2"/>
          <w:numId w:val="46"/>
        </w:numPr>
        <w:ind w:left="0" w:firstLine="851"/>
        <w:jc w:val="both"/>
        <w:spacing w:after="0" w:line="240" w:lineRule="auto"/>
        <w:shd w:val="clear" w:color="auto" w:fill="ffffff"/>
        <w:widowControl w:val="off"/>
        <w:tabs>
          <w:tab w:val="left" w:pos="851" w:leader="none"/>
          <w:tab w:val="left" w:pos="993" w:leader="none"/>
        </w:tabs>
        <w:rPr>
          <w:rFonts w:ascii="Times New Roman" w:hAnsi="Times New Roman"/>
          <w:color w:val="333333"/>
          <w:sz w:val="24"/>
          <w:szCs w:val="24"/>
          <w:lang w:eastAsia="uk-UA"/>
        </w:rPr>
      </w:pPr>
      <w:r>
        <w:rPr>
          <w:rFonts w:ascii="Times New Roman" w:hAnsi="Times New Roman"/>
          <w:color w:val="333333"/>
          <w:sz w:val="24"/>
          <w:szCs w:val="24"/>
          <w:lang w:eastAsia="uk-UA"/>
        </w:rPr>
        <w:t xml:space="preserve">операційна система Microsoft Windows 10 Professional </w:t>
      </w:r>
      <w:r>
        <w:rPr>
          <w:rFonts w:ascii="Times New Roman" w:hAnsi="Times New Roman"/>
          <w:sz w:val="24"/>
          <w:szCs w:val="24"/>
          <w:lang w:eastAsia="ru-RU"/>
        </w:rPr>
        <w:t xml:space="preserve">(або пізніша версія </w:t>
      </w:r>
      <w:r>
        <w:rPr>
          <w:rFonts w:ascii="Times New Roman" w:hAnsi="Times New Roman"/>
          <w:color w:val="000000"/>
          <w:sz w:val="24"/>
          <w:szCs w:val="24"/>
          <w:lang w:eastAsia="ru-RU"/>
        </w:rPr>
        <w:t xml:space="preserve">лінійки </w:t>
      </w:r>
      <w:hyperlink r:id="rId11" w:tooltip="https://uk.wikipedia.org/wiki/%D0%9E%D0%BF%D0%B5%D1%80%D0%B0%D1%86%D1%96%D0%B9%D0%BD%D0%B0_%D1%81%D0%B8%D1%81%D1%82%D0%B5%D0%BC%D0%B0" w:history="1">
        <w:r>
          <w:rPr>
            <w:rFonts w:ascii="Times New Roman" w:hAnsi="Times New Roman"/>
            <w:color w:val="000000"/>
            <w:sz w:val="24"/>
            <w:szCs w:val="24"/>
            <w:lang w:eastAsia="ru-RU"/>
          </w:rPr>
          <w:t xml:space="preserve">операційних систем</w:t>
        </w:r>
      </w:hyperlink>
      <w:r>
        <w:rPr>
          <w:rFonts w:ascii="Times New Roman" w:hAnsi="Times New Roman"/>
          <w:color w:val="000000"/>
          <w:sz w:val="24"/>
          <w:szCs w:val="24"/>
          <w:lang w:eastAsia="ru-RU"/>
        </w:rPr>
        <w:t xml:space="preserve"> </w:t>
      </w:r>
      <w:hyperlink r:id="rId12" w:tooltip="https://uk.wikipedia.org/wiki/Windows_NT" w:history="1">
        <w:r>
          <w:rPr>
            <w:rFonts w:ascii="Times New Roman" w:hAnsi="Times New Roman"/>
            <w:color w:val="000000"/>
            <w:sz w:val="24"/>
            <w:szCs w:val="24"/>
            <w:lang w:val="ru-RU" w:eastAsia="ru-RU"/>
          </w:rPr>
          <w:t xml:space="preserve">Windows</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ru-RU"/>
          </w:rPr>
          <w:t xml:space="preserve">NT</w:t>
        </w:r>
      </w:hyperlink>
      <w:r>
        <w:rPr>
          <w:rFonts w:ascii="Times New Roman" w:hAnsi="Times New Roman"/>
          <w:sz w:val="24"/>
          <w:szCs w:val="24"/>
          <w:lang w:eastAsia="ru-RU"/>
        </w:rPr>
        <w:t xml:space="preserve">, яка має дійсний експертний висновок </w:t>
      </w:r>
      <w:r>
        <w:rPr>
          <w:rFonts w:ascii="Times New Roman" w:hAnsi="Times New Roman"/>
          <w:sz w:val="24"/>
          <w:szCs w:val="24"/>
          <w:lang w:eastAsia="ru-RU"/>
        </w:rPr>
        <w:t xml:space="preserve">Держспецзв’язку</w:t>
      </w:r>
      <w:r>
        <w:rPr>
          <w:rFonts w:ascii="Times New Roman" w:hAnsi="Times New Roman"/>
          <w:sz w:val="24"/>
          <w:szCs w:val="24"/>
          <w:lang w:eastAsia="ru-RU"/>
        </w:rPr>
        <w:t xml:space="preserve">)</w:t>
      </w:r>
      <w:r>
        <w:rPr>
          <w:rFonts w:ascii="Times New Roman" w:hAnsi="Times New Roman"/>
          <w:color w:val="333333"/>
          <w:sz w:val="24"/>
          <w:szCs w:val="24"/>
          <w:lang w:eastAsia="uk-UA"/>
        </w:rPr>
        <w:t xml:space="preserve">;</w:t>
      </w:r>
      <w:r/>
    </w:p>
    <w:p>
      <w:pPr>
        <w:numPr>
          <w:ilvl w:val="2"/>
          <w:numId w:val="46"/>
        </w:numPr>
        <w:ind w:left="0" w:firstLine="851"/>
        <w:jc w:val="both"/>
        <w:spacing w:after="0" w:line="240" w:lineRule="auto"/>
        <w:shd w:val="clear" w:color="auto" w:fill="ffffff"/>
        <w:widowControl w:val="off"/>
        <w:rPr>
          <w:rFonts w:ascii="Times New Roman" w:hAnsi="Times New Roman"/>
          <w:color w:val="333333"/>
          <w:sz w:val="24"/>
          <w:szCs w:val="24"/>
          <w:lang w:eastAsia="uk-UA"/>
        </w:rPr>
      </w:pPr>
      <w:r>
        <w:rPr>
          <w:rFonts w:ascii="Times New Roman" w:hAnsi="Times New Roman"/>
          <w:color w:val="333333"/>
          <w:sz w:val="24"/>
          <w:szCs w:val="24"/>
          <w:lang w:eastAsia="uk-UA"/>
        </w:rPr>
        <w:t xml:space="preserve">антивірусний захист.</w:t>
      </w:r>
      <w:r/>
    </w:p>
    <w:p>
      <w:pPr>
        <w:numPr>
          <w:ilvl w:val="0"/>
          <w:numId w:val="45"/>
        </w:numPr>
        <w:ind w:left="0" w:right="-2"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Створення в інформаційно-комунікаційній системі робочого місця користувача КСЗІ з підтвердженою відповідністю.</w:t>
      </w:r>
      <w:r/>
    </w:p>
    <w:p>
      <w:pPr>
        <w:numPr>
          <w:ilvl w:val="0"/>
          <w:numId w:val="45"/>
        </w:numPr>
        <w:ind w:left="0" w:right="-2"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Оформлення декларації про відповідність КСЗІ вимогам нормативних документів з технічного захисту інформації.</w:t>
      </w:r>
      <w:r/>
    </w:p>
    <w:p>
      <w:pPr>
        <w:numPr>
          <w:ilvl w:val="0"/>
          <w:numId w:val="45"/>
        </w:numPr>
        <w:ind w:left="0" w:right="-2"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Розгортання та налаштування засобів криптографічного захисту інформації (далі – КЗІ), наданих в рамках підключення до єдиної інформаційної системи МВС.</w:t>
      </w:r>
      <w:r/>
    </w:p>
    <w:p>
      <w:pPr>
        <w:numPr>
          <w:ilvl w:val="0"/>
          <w:numId w:val="45"/>
        </w:numPr>
        <w:ind w:left="0" w:right="-2"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Внесення інформації про засоби КЗІ до декларації.</w:t>
      </w:r>
      <w:r/>
    </w:p>
    <w:p>
      <w:pPr>
        <w:numPr>
          <w:ilvl w:val="0"/>
          <w:numId w:val="45"/>
        </w:numPr>
        <w:ind w:left="0" w:firstLine="709"/>
        <w:jc w:val="both"/>
        <w:spacing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Після завершення робіт зі створення КСЗІ супроводження документації до Адміністрації </w:t>
      </w:r>
      <w:r>
        <w:rPr>
          <w:rFonts w:ascii="Times New Roman" w:hAnsi="Times New Roman"/>
          <w:sz w:val="24"/>
          <w:szCs w:val="24"/>
          <w:lang w:eastAsia="ru-RU"/>
        </w:rPr>
        <w:t xml:space="preserve">Держспецзв’язку</w:t>
      </w:r>
      <w:r>
        <w:rPr>
          <w:rFonts w:ascii="Times New Roman" w:hAnsi="Times New Roman"/>
          <w:sz w:val="24"/>
          <w:szCs w:val="24"/>
          <w:lang w:eastAsia="ru-RU"/>
        </w:rPr>
        <w:t xml:space="preserve">.</w:t>
      </w:r>
      <w:bookmarkEnd w:id="3"/>
      <w:r/>
      <w:r/>
    </w:p>
    <w:p>
      <w:pPr>
        <w:contextualSpacing/>
        <w:ind w:firstLine="709"/>
        <w:jc w:val="both"/>
        <w:spacing w:after="0" w:line="240" w:lineRule="auto"/>
        <w:widowControl w:val="off"/>
        <w:rPr>
          <w:rFonts w:ascii="Times New Roman" w:hAnsi="Times New Roman"/>
          <w:sz w:val="24"/>
          <w:szCs w:val="24"/>
          <w:lang w:eastAsia="ru-RU"/>
        </w:rPr>
      </w:pPr>
      <w:r>
        <w:rPr>
          <w:rFonts w:ascii="Times New Roman" w:hAnsi="Times New Roman"/>
          <w:sz w:val="24"/>
          <w:szCs w:val="24"/>
          <w:lang w:eastAsia="ru-RU"/>
        </w:rPr>
        <w:t xml:space="preserve">Документація повинна бути підготовлена на основі організаційно-технічного рішення для КСЗІ типового робочого місця користувача інформаційно-комунікаційної системи ЄДРТЗ, розробленого Головним сервісним центром МВС.</w:t>
      </w:r>
      <w:r/>
    </w:p>
    <w:p>
      <w:pPr>
        <w:numPr>
          <w:ilvl w:val="0"/>
          <w:numId w:val="43"/>
        </w:numPr>
        <w:ind w:left="1276" w:hanging="567"/>
        <w:jc w:val="both"/>
        <w:spacing w:before="120" w:after="0" w:line="240" w:lineRule="auto"/>
        <w:widowControl w:val="off"/>
        <w:tabs>
          <w:tab w:val="left" w:pos="1134" w:leader="none"/>
        </w:tabs>
        <w:rPr>
          <w:rFonts w:ascii="Times New Roman" w:hAnsi="Times New Roman"/>
          <w:b/>
          <w:bCs/>
          <w:sz w:val="24"/>
          <w:szCs w:val="24"/>
          <w:lang w:eastAsia="ru-RU"/>
        </w:rPr>
      </w:pPr>
      <w:r>
        <w:rPr>
          <w:rFonts w:ascii="Times New Roman" w:hAnsi="Times New Roman"/>
          <w:b/>
          <w:bCs/>
          <w:sz w:val="24"/>
          <w:szCs w:val="24"/>
          <w:lang w:eastAsia="ru-RU"/>
        </w:rPr>
        <w:t xml:space="preserve">Вимоги до виконавця</w:t>
      </w:r>
      <w:r/>
    </w:p>
    <w:p>
      <w:pPr>
        <w:contextualSpacing/>
        <w:ind w:left="1276" w:hanging="567"/>
        <w:jc w:val="both"/>
        <w:spacing w:before="120" w:after="0" w:line="240" w:lineRule="auto"/>
        <w:widowControl w:val="off"/>
        <w:rPr>
          <w:rFonts w:ascii="Times New Roman" w:hAnsi="Times New Roman"/>
          <w:sz w:val="24"/>
          <w:szCs w:val="24"/>
          <w:lang w:eastAsia="ru-RU"/>
        </w:rPr>
      </w:pPr>
      <w:r>
        <w:rPr>
          <w:rFonts w:ascii="Times New Roman" w:hAnsi="Times New Roman"/>
          <w:sz w:val="24"/>
          <w:szCs w:val="24"/>
          <w:lang w:eastAsia="ru-RU"/>
        </w:rPr>
        <w:t xml:space="preserve">Виконавець повинен мати:</w:t>
      </w:r>
      <w:r/>
    </w:p>
    <w:p>
      <w:pPr>
        <w:numPr>
          <w:ilvl w:val="1"/>
          <w:numId w:val="47"/>
        </w:numPr>
        <w:contextualSpacing/>
        <w:ind w:left="0" w:firstLine="709"/>
        <w:jc w:val="both"/>
        <w:spacing w:before="120"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Досвід розробки та впровадження комплексних систем захисту інформації;</w:t>
      </w:r>
      <w:r/>
    </w:p>
    <w:p>
      <w:pPr>
        <w:numPr>
          <w:ilvl w:val="1"/>
          <w:numId w:val="47"/>
        </w:numPr>
        <w:contextualSpacing/>
        <w:ind w:left="0" w:firstLine="709"/>
        <w:jc w:val="both"/>
        <w:spacing w:before="120" w:after="0" w:line="240" w:lineRule="auto"/>
        <w:widowControl w:val="off"/>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Відповідні ліцензії та сертифікати на право здійснення діяльності у сфері технічного захисту інформації;</w:t>
      </w:r>
      <w:r/>
    </w:p>
    <w:p>
      <w:pPr>
        <w:ind w:left="567"/>
        <w:jc w:val="center"/>
        <w:spacing w:after="0" w:line="240" w:lineRule="auto"/>
        <w:widowControl w:val="off"/>
        <w:tabs>
          <w:tab w:val="left" w:pos="993" w:leader="none"/>
          <w:tab w:val="left" w:pos="1418" w:leader="none"/>
        </w:tabs>
        <w:rPr>
          <w:rFonts w:ascii="Times New Roman" w:hAnsi="Times New Roman"/>
          <w:b/>
          <w:sz w:val="24"/>
          <w:szCs w:val="24"/>
        </w:rPr>
      </w:pPr>
      <w:r>
        <w:rPr>
          <w:rFonts w:ascii="Times New Roman" w:hAnsi="Times New Roman"/>
          <w:sz w:val="24"/>
          <w:szCs w:val="24"/>
        </w:rPr>
        <w:t xml:space="preserve">Кваліфікованих фахівців з технічного та криптографічного захисту інформації з необхідним рівнем підготовки та досвідом роботи.</w:t>
      </w:r>
      <w:r/>
    </w:p>
    <w:p>
      <w:pPr>
        <w:pStyle w:val="760"/>
        <w:ind w:firstLine="567"/>
        <w:jc w:val="both"/>
        <w:rPr>
          <w:rFonts w:ascii="Times New Roman" w:hAnsi="Times New Roman"/>
          <w:sz w:val="24"/>
          <w:szCs w:val="24"/>
        </w:rPr>
      </w:pPr>
      <w:r>
        <w:rPr>
          <w:rFonts w:ascii="Times New Roman" w:hAnsi="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386 400,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триста вісімдесят шість тисяч чотириста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3">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decimal"/>
      <w:isLgl w:val="false"/>
      <w:suff w:val="tab"/>
      <w:lvlText w:val="%2."/>
      <w:lvlJc w:val="left"/>
      <w:pPr>
        <w:ind w:left="720" w:hanging="360"/>
      </w:p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bullet"/>
      <w:isLgl w:val="false"/>
      <w:suff w:val="tab"/>
      <w:lvlText w:val=""/>
      <w:lvlJc w:val="left"/>
      <w:pPr>
        <w:ind w:left="2340" w:hanging="360"/>
      </w:pPr>
      <w:rPr>
        <w:rFonts w:hint="default" w:ascii="Symbol" w:hAnsi="Symbol"/>
      </w:r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0">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4">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8"/>
  </w:num>
  <w:num w:numId="2">
    <w:abstractNumId w:val="23"/>
  </w:num>
  <w:num w:numId="3">
    <w:abstractNumId w:val="11"/>
  </w:num>
  <w:num w:numId="4">
    <w:abstractNumId w:val="31"/>
  </w:num>
  <w:num w:numId="5">
    <w:abstractNumId w:val="10"/>
  </w:num>
  <w:num w:numId="6">
    <w:abstractNumId w:val="39"/>
  </w:num>
  <w:num w:numId="7">
    <w:abstractNumId w:val="14"/>
  </w:num>
  <w:num w:numId="8">
    <w:abstractNumId w:val="41"/>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0"/>
  </w:num>
  <w:num w:numId="17">
    <w:abstractNumId w:val="2"/>
  </w:num>
  <w:num w:numId="18">
    <w:abstractNumId w:val="45"/>
  </w:num>
  <w:num w:numId="19">
    <w:abstractNumId w:val="3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25"/>
  </w:num>
  <w:num w:numId="26">
    <w:abstractNumId w:val="28"/>
  </w:num>
  <w:num w:numId="27">
    <w:abstractNumId w:val="35"/>
  </w:num>
  <w:num w:numId="28">
    <w:abstractNumId w:val="26"/>
  </w:num>
  <w:num w:numId="29">
    <w:abstractNumId w:val="37"/>
  </w:num>
  <w:num w:numId="30">
    <w:abstractNumId w:val="22"/>
  </w:num>
  <w:num w:numId="31">
    <w:abstractNumId w:val="4"/>
  </w:num>
  <w:num w:numId="32">
    <w:abstractNumId w:val="24"/>
  </w:num>
  <w:num w:numId="33">
    <w:abstractNumId w:val="21"/>
  </w:num>
  <w:num w:numId="34">
    <w:abstractNumId w:val="18"/>
  </w:num>
  <w:num w:numId="35">
    <w:abstractNumId w:val="43"/>
  </w:num>
  <w:num w:numId="36">
    <w:abstractNumId w:val="8"/>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4"/>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
  </w:num>
  <w:num w:numId="43">
    <w:abstractNumId w:val="5"/>
  </w:num>
  <w:num w:numId="44">
    <w:abstractNumId w:val="7"/>
  </w:num>
  <w:num w:numId="45">
    <w:abstractNumId w:val="36"/>
  </w:num>
  <w:num w:numId="46">
    <w:abstractNumId w:val="1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7"/>
    <w:next w:val="73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41"/>
    <w:link w:val="12"/>
    <w:uiPriority w:val="9"/>
    <w:rPr>
      <w:rFonts w:ascii="Arial" w:hAnsi="Arial" w:eastAsia="Arial" w:cs="Arial"/>
      <w:sz w:val="40"/>
      <w:szCs w:val="40"/>
    </w:rPr>
  </w:style>
  <w:style w:type="character" w:styleId="15">
    <w:name w:val="Heading 2 Char"/>
    <w:basedOn w:val="741"/>
    <w:link w:val="738"/>
    <w:uiPriority w:val="9"/>
    <w:rPr>
      <w:rFonts w:ascii="Arial" w:hAnsi="Arial" w:eastAsia="Arial" w:cs="Arial"/>
      <w:sz w:val="34"/>
    </w:rPr>
  </w:style>
  <w:style w:type="character" w:styleId="17">
    <w:name w:val="Heading 3 Char"/>
    <w:basedOn w:val="741"/>
    <w:link w:val="739"/>
    <w:uiPriority w:val="9"/>
    <w:rPr>
      <w:rFonts w:ascii="Arial" w:hAnsi="Arial" w:eastAsia="Arial" w:cs="Arial"/>
      <w:sz w:val="30"/>
      <w:szCs w:val="30"/>
    </w:rPr>
  </w:style>
  <w:style w:type="character" w:styleId="19">
    <w:name w:val="Heading 4 Char"/>
    <w:basedOn w:val="741"/>
    <w:link w:val="740"/>
    <w:uiPriority w:val="9"/>
    <w:rPr>
      <w:rFonts w:ascii="Arial" w:hAnsi="Arial" w:eastAsia="Arial" w:cs="Arial"/>
      <w:b/>
      <w:bCs/>
      <w:sz w:val="26"/>
      <w:szCs w:val="26"/>
    </w:rPr>
  </w:style>
  <w:style w:type="paragraph" w:styleId="20">
    <w:name w:val="Heading 5"/>
    <w:basedOn w:val="737"/>
    <w:next w:val="73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1"/>
    <w:link w:val="20"/>
    <w:uiPriority w:val="9"/>
    <w:rPr>
      <w:rFonts w:ascii="Arial" w:hAnsi="Arial" w:eastAsia="Arial" w:cs="Arial"/>
      <w:b/>
      <w:bCs/>
      <w:sz w:val="24"/>
      <w:szCs w:val="24"/>
    </w:rPr>
  </w:style>
  <w:style w:type="paragraph" w:styleId="22">
    <w:name w:val="Heading 6"/>
    <w:basedOn w:val="737"/>
    <w:next w:val="73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1"/>
    <w:link w:val="22"/>
    <w:uiPriority w:val="9"/>
    <w:rPr>
      <w:rFonts w:ascii="Arial" w:hAnsi="Arial" w:eastAsia="Arial" w:cs="Arial"/>
      <w:b/>
      <w:bCs/>
      <w:sz w:val="22"/>
      <w:szCs w:val="22"/>
    </w:rPr>
  </w:style>
  <w:style w:type="paragraph" w:styleId="24">
    <w:name w:val="Heading 7"/>
    <w:basedOn w:val="737"/>
    <w:next w:val="73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1"/>
    <w:link w:val="24"/>
    <w:uiPriority w:val="9"/>
    <w:rPr>
      <w:rFonts w:ascii="Arial" w:hAnsi="Arial" w:eastAsia="Arial" w:cs="Arial"/>
      <w:b/>
      <w:bCs/>
      <w:i/>
      <w:iCs/>
      <w:sz w:val="22"/>
      <w:szCs w:val="22"/>
    </w:rPr>
  </w:style>
  <w:style w:type="paragraph" w:styleId="26">
    <w:name w:val="Heading 8"/>
    <w:basedOn w:val="737"/>
    <w:next w:val="73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1"/>
    <w:link w:val="26"/>
    <w:uiPriority w:val="9"/>
    <w:rPr>
      <w:rFonts w:ascii="Arial" w:hAnsi="Arial" w:eastAsia="Arial" w:cs="Arial"/>
      <w:i/>
      <w:iCs/>
      <w:sz w:val="22"/>
      <w:szCs w:val="22"/>
    </w:rPr>
  </w:style>
  <w:style w:type="paragraph" w:styleId="28">
    <w:name w:val="Heading 9"/>
    <w:basedOn w:val="737"/>
    <w:next w:val="73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1"/>
    <w:link w:val="28"/>
    <w:uiPriority w:val="9"/>
    <w:rPr>
      <w:rFonts w:ascii="Arial" w:hAnsi="Arial" w:eastAsia="Arial" w:cs="Arial"/>
      <w:i/>
      <w:iCs/>
      <w:sz w:val="21"/>
      <w:szCs w:val="21"/>
    </w:rPr>
  </w:style>
  <w:style w:type="paragraph" w:styleId="33">
    <w:name w:val="Title"/>
    <w:basedOn w:val="737"/>
    <w:next w:val="737"/>
    <w:link w:val="34"/>
    <w:uiPriority w:val="10"/>
    <w:qFormat/>
    <w:pPr>
      <w:contextualSpacing/>
      <w:spacing w:before="300" w:after="200"/>
    </w:pPr>
    <w:rPr>
      <w:sz w:val="48"/>
      <w:szCs w:val="48"/>
    </w:rPr>
  </w:style>
  <w:style w:type="character" w:styleId="34">
    <w:name w:val="Title Char"/>
    <w:basedOn w:val="741"/>
    <w:link w:val="33"/>
    <w:uiPriority w:val="10"/>
    <w:rPr>
      <w:sz w:val="48"/>
      <w:szCs w:val="48"/>
    </w:rPr>
  </w:style>
  <w:style w:type="paragraph" w:styleId="35">
    <w:name w:val="Subtitle"/>
    <w:basedOn w:val="737"/>
    <w:next w:val="737"/>
    <w:link w:val="36"/>
    <w:uiPriority w:val="11"/>
    <w:qFormat/>
    <w:pPr>
      <w:spacing w:before="200" w:after="200"/>
    </w:pPr>
    <w:rPr>
      <w:sz w:val="24"/>
      <w:szCs w:val="24"/>
    </w:rPr>
  </w:style>
  <w:style w:type="character" w:styleId="36">
    <w:name w:val="Subtitle Char"/>
    <w:basedOn w:val="741"/>
    <w:link w:val="35"/>
    <w:uiPriority w:val="11"/>
    <w:rPr>
      <w:sz w:val="24"/>
      <w:szCs w:val="24"/>
    </w:rPr>
  </w:style>
  <w:style w:type="paragraph" w:styleId="37">
    <w:name w:val="Quote"/>
    <w:basedOn w:val="737"/>
    <w:next w:val="737"/>
    <w:link w:val="38"/>
    <w:uiPriority w:val="29"/>
    <w:qFormat/>
    <w:pPr>
      <w:ind w:left="720" w:right="720"/>
    </w:pPr>
    <w:rPr>
      <w:i/>
    </w:rPr>
  </w:style>
  <w:style w:type="character" w:styleId="38">
    <w:name w:val="Quote Char"/>
    <w:link w:val="37"/>
    <w:uiPriority w:val="29"/>
    <w:rPr>
      <w:i/>
    </w:rPr>
  </w:style>
  <w:style w:type="paragraph" w:styleId="39">
    <w:name w:val="Intense Quote"/>
    <w:basedOn w:val="737"/>
    <w:next w:val="73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7"/>
    <w:link w:val="42"/>
    <w:uiPriority w:val="99"/>
    <w:unhideWhenUsed/>
    <w:pPr>
      <w:spacing w:after="0" w:line="240" w:lineRule="auto"/>
      <w:tabs>
        <w:tab w:val="center" w:pos="7143" w:leader="none"/>
        <w:tab w:val="right" w:pos="14287" w:leader="none"/>
      </w:tabs>
    </w:pPr>
  </w:style>
  <w:style w:type="character" w:styleId="42">
    <w:name w:val="Header Char"/>
    <w:basedOn w:val="741"/>
    <w:link w:val="41"/>
    <w:uiPriority w:val="99"/>
  </w:style>
  <w:style w:type="character" w:styleId="44">
    <w:name w:val="Footer Char"/>
    <w:basedOn w:val="741"/>
    <w:link w:val="750"/>
    <w:uiPriority w:val="99"/>
  </w:style>
  <w:style w:type="paragraph" w:styleId="45">
    <w:name w:val="Caption"/>
    <w:basedOn w:val="737"/>
    <w:next w:val="737"/>
    <w:uiPriority w:val="35"/>
    <w:semiHidden/>
    <w:unhideWhenUsed/>
    <w:qFormat/>
    <w:pPr>
      <w:spacing w:line="276" w:lineRule="auto"/>
    </w:pPr>
    <w:rPr>
      <w:b/>
      <w:bCs/>
      <w:color w:val="4f81bd" w:themeColor="accent1"/>
      <w:sz w:val="18"/>
      <w:szCs w:val="18"/>
    </w:rPr>
  </w:style>
  <w:style w:type="character" w:styleId="46">
    <w:name w:val="Caption Char"/>
    <w:basedOn w:val="45"/>
    <w:link w:val="750"/>
    <w:uiPriority w:val="99"/>
  </w:style>
  <w:style w:type="table" w:styleId="48">
    <w:name w:val="Table Grid Light"/>
    <w:basedOn w:val="7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1"/>
    <w:uiPriority w:val="99"/>
    <w:unhideWhenUsed/>
    <w:rPr>
      <w:vertAlign w:val="superscript"/>
    </w:rPr>
  </w:style>
  <w:style w:type="paragraph" w:styleId="177">
    <w:name w:val="endnote text"/>
    <w:basedOn w:val="73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1"/>
    <w:uiPriority w:val="99"/>
    <w:semiHidden/>
    <w:unhideWhenUsed/>
    <w:rPr>
      <w:vertAlign w:val="superscript"/>
    </w:rPr>
  </w:style>
  <w:style w:type="paragraph" w:styleId="180">
    <w:name w:val="toc 1"/>
    <w:basedOn w:val="737"/>
    <w:next w:val="737"/>
    <w:uiPriority w:val="39"/>
    <w:unhideWhenUsed/>
    <w:pPr>
      <w:ind w:left="0" w:right="0" w:firstLine="0"/>
      <w:spacing w:after="57"/>
    </w:pPr>
  </w:style>
  <w:style w:type="paragraph" w:styleId="181">
    <w:name w:val="toc 2"/>
    <w:basedOn w:val="737"/>
    <w:next w:val="737"/>
    <w:uiPriority w:val="39"/>
    <w:unhideWhenUsed/>
    <w:pPr>
      <w:ind w:left="283" w:right="0" w:firstLine="0"/>
      <w:spacing w:after="57"/>
    </w:pPr>
  </w:style>
  <w:style w:type="paragraph" w:styleId="182">
    <w:name w:val="toc 3"/>
    <w:basedOn w:val="737"/>
    <w:next w:val="737"/>
    <w:uiPriority w:val="39"/>
    <w:unhideWhenUsed/>
    <w:pPr>
      <w:ind w:left="567" w:right="0" w:firstLine="0"/>
      <w:spacing w:after="57"/>
    </w:pPr>
  </w:style>
  <w:style w:type="paragraph" w:styleId="183">
    <w:name w:val="toc 4"/>
    <w:basedOn w:val="737"/>
    <w:next w:val="737"/>
    <w:uiPriority w:val="39"/>
    <w:unhideWhenUsed/>
    <w:pPr>
      <w:ind w:left="850" w:right="0" w:firstLine="0"/>
      <w:spacing w:after="57"/>
    </w:pPr>
  </w:style>
  <w:style w:type="paragraph" w:styleId="184">
    <w:name w:val="toc 5"/>
    <w:basedOn w:val="737"/>
    <w:next w:val="737"/>
    <w:uiPriority w:val="39"/>
    <w:unhideWhenUsed/>
    <w:pPr>
      <w:ind w:left="1134" w:right="0" w:firstLine="0"/>
      <w:spacing w:after="57"/>
    </w:pPr>
  </w:style>
  <w:style w:type="paragraph" w:styleId="185">
    <w:name w:val="toc 6"/>
    <w:basedOn w:val="737"/>
    <w:next w:val="737"/>
    <w:uiPriority w:val="39"/>
    <w:unhideWhenUsed/>
    <w:pPr>
      <w:ind w:left="1417" w:right="0" w:firstLine="0"/>
      <w:spacing w:after="57"/>
    </w:pPr>
  </w:style>
  <w:style w:type="paragraph" w:styleId="186">
    <w:name w:val="toc 7"/>
    <w:basedOn w:val="737"/>
    <w:next w:val="737"/>
    <w:uiPriority w:val="39"/>
    <w:unhideWhenUsed/>
    <w:pPr>
      <w:ind w:left="1701" w:right="0" w:firstLine="0"/>
      <w:spacing w:after="57"/>
    </w:pPr>
  </w:style>
  <w:style w:type="paragraph" w:styleId="187">
    <w:name w:val="toc 8"/>
    <w:basedOn w:val="737"/>
    <w:next w:val="737"/>
    <w:uiPriority w:val="39"/>
    <w:unhideWhenUsed/>
    <w:pPr>
      <w:ind w:left="1984" w:right="0" w:firstLine="0"/>
      <w:spacing w:after="57"/>
    </w:pPr>
  </w:style>
  <w:style w:type="paragraph" w:styleId="188">
    <w:name w:val="toc 9"/>
    <w:basedOn w:val="737"/>
    <w:next w:val="73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7"/>
    <w:next w:val="737"/>
    <w:uiPriority w:val="99"/>
    <w:unhideWhenUsed/>
    <w:pPr>
      <w:spacing w:after="0" w:afterAutospacing="0"/>
    </w:pPr>
  </w:style>
  <w:style w:type="paragraph" w:styleId="737" w:default="1">
    <w:name w:val="Normal"/>
    <w:qFormat/>
    <w:rPr>
      <w:lang w:val="uk-UA"/>
    </w:rPr>
  </w:style>
  <w:style w:type="paragraph" w:styleId="738">
    <w:name w:val="Heading 2"/>
    <w:basedOn w:val="737"/>
    <w:link w:val="75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9">
    <w:name w:val="Heading 3"/>
    <w:basedOn w:val="737"/>
    <w:next w:val="737"/>
    <w:link w:val="77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40">
    <w:name w:val="Heading 4"/>
    <w:basedOn w:val="737"/>
    <w:next w:val="737"/>
    <w:link w:val="77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41" w:default="1">
    <w:name w:val="Default Paragraph Font"/>
    <w:uiPriority w:val="1"/>
    <w:semiHidden/>
    <w:unhideWhenUsed/>
  </w:style>
  <w:style w:type="table" w:styleId="742" w:default="1">
    <w:name w:val="Normal Table"/>
    <w:uiPriority w:val="99"/>
    <w:semiHidden/>
    <w:unhideWhenUsed/>
    <w:tblPr>
      <w:tblInd w:w="0" w:type="dxa"/>
      <w:tblCellMar>
        <w:left w:w="108" w:type="dxa"/>
        <w:top w:w="0" w:type="dxa"/>
        <w:right w:w="108" w:type="dxa"/>
        <w:bottom w:w="0" w:type="dxa"/>
      </w:tblCellMar>
    </w:tblPr>
  </w:style>
  <w:style w:type="numbering" w:styleId="743" w:default="1">
    <w:name w:val="No List"/>
    <w:uiPriority w:val="99"/>
    <w:semiHidden/>
    <w:unhideWhenUsed/>
  </w:style>
  <w:style w:type="paragraph" w:styleId="744">
    <w:name w:val="List Paragraph"/>
    <w:basedOn w:val="737"/>
    <w:link w:val="745"/>
    <w:uiPriority w:val="34"/>
    <w:qFormat/>
    <w:pPr>
      <w:contextualSpacing/>
      <w:ind w:left="720"/>
      <w:spacing w:after="200" w:line="276" w:lineRule="auto"/>
    </w:pPr>
    <w:rPr>
      <w:rFonts w:ascii="Calibri" w:hAnsi="Calibri" w:eastAsia="Calibri" w:cs="Calibri"/>
      <w:lang w:val="ru-RU" w:eastAsia="zh-CN"/>
    </w:rPr>
  </w:style>
  <w:style w:type="character" w:styleId="745" w:customStyle="1">
    <w:name w:val="Абзац списку Знак"/>
    <w:link w:val="744"/>
    <w:uiPriority w:val="34"/>
    <w:qFormat/>
    <w:rPr>
      <w:rFonts w:ascii="Calibri" w:hAnsi="Calibri" w:eastAsia="Calibri" w:cs="Calibri"/>
      <w:lang w:eastAsia="zh-CN"/>
    </w:rPr>
  </w:style>
  <w:style w:type="table" w:styleId="746">
    <w:name w:val="Table Grid"/>
    <w:basedOn w:val="74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7" w:customStyle="1">
    <w:name w:val="Сетка таблицы2"/>
    <w:basedOn w:val="742"/>
    <w:next w:val="74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8">
    <w:name w:val="Normal (Web)"/>
    <w:basedOn w:val="737"/>
    <w:link w:val="755"/>
    <w:unhideWhenUsed/>
    <w:qFormat/>
    <w:rPr>
      <w:rFonts w:ascii="Times New Roman" w:hAnsi="Times New Roman" w:cs="Times New Roman"/>
      <w:sz w:val="24"/>
      <w:szCs w:val="24"/>
    </w:rPr>
  </w:style>
  <w:style w:type="table" w:styleId="749" w:customStyle="1">
    <w:name w:val="Сетка таблицы1"/>
    <w:basedOn w:val="742"/>
    <w:next w:val="74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0">
    <w:name w:val="Footer"/>
    <w:basedOn w:val="737"/>
    <w:link w:val="75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1" w:customStyle="1">
    <w:name w:val="Нижній колонтитул Знак"/>
    <w:basedOn w:val="741"/>
    <w:link w:val="750"/>
    <w:uiPriority w:val="99"/>
    <w:rPr>
      <w:rFonts w:ascii="Calibri" w:hAnsi="Calibri" w:eastAsia="Calibri" w:cs="Calibri"/>
      <w:lang w:eastAsia="zh-CN"/>
    </w:rPr>
  </w:style>
  <w:style w:type="paragraph" w:styleId="75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3">
    <w:name w:val="Hyperlink"/>
    <w:basedOn w:val="741"/>
    <w:uiPriority w:val="99"/>
    <w:unhideWhenUsed/>
    <w:rPr>
      <w:color w:val="0563c1" w:themeColor="hyperlink"/>
      <w:u w:val="single"/>
    </w:rPr>
  </w:style>
  <w:style w:type="character" w:styleId="754" w:customStyle="1">
    <w:name w:val="xfm_93972720"/>
    <w:basedOn w:val="741"/>
  </w:style>
  <w:style w:type="character" w:styleId="755" w:customStyle="1">
    <w:name w:val="Звичайний (веб) Знак"/>
    <w:link w:val="748"/>
    <w:qFormat/>
    <w:rPr>
      <w:rFonts w:ascii="Times New Roman" w:hAnsi="Times New Roman" w:cs="Times New Roman"/>
      <w:sz w:val="24"/>
      <w:szCs w:val="24"/>
      <w:lang w:val="uk-UA"/>
    </w:rPr>
  </w:style>
  <w:style w:type="paragraph" w:styleId="756">
    <w:name w:val="Body Text 2"/>
    <w:basedOn w:val="737"/>
    <w:link w:val="757"/>
    <w:pPr>
      <w:spacing w:after="0" w:line="240" w:lineRule="auto"/>
    </w:pPr>
    <w:rPr>
      <w:rFonts w:ascii="Times New Roman" w:hAnsi="Times New Roman" w:eastAsia="Times New Roman" w:cs="Times New Roman"/>
      <w:sz w:val="28"/>
      <w:szCs w:val="20"/>
      <w:lang w:val="ru-RU" w:eastAsia="ru-RU"/>
    </w:rPr>
  </w:style>
  <w:style w:type="character" w:styleId="757" w:customStyle="1">
    <w:name w:val="Основний текст 2 Знак"/>
    <w:basedOn w:val="741"/>
    <w:link w:val="756"/>
    <w:rPr>
      <w:rFonts w:ascii="Times New Roman" w:hAnsi="Times New Roman" w:eastAsia="Times New Roman" w:cs="Times New Roman"/>
      <w:sz w:val="28"/>
      <w:szCs w:val="20"/>
      <w:lang w:eastAsia="ru-RU"/>
    </w:rPr>
  </w:style>
  <w:style w:type="paragraph" w:styleId="75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9" w:customStyle="1">
    <w:name w:val="Заголовок 2 Знак"/>
    <w:basedOn w:val="741"/>
    <w:link w:val="738"/>
    <w:uiPriority w:val="9"/>
    <w:rPr>
      <w:rFonts w:ascii="Times New Roman" w:hAnsi="Times New Roman" w:eastAsia="Times New Roman" w:cs="Times New Roman"/>
      <w:b/>
      <w:bCs/>
      <w:sz w:val="36"/>
      <w:szCs w:val="36"/>
      <w:lang w:val="uk-UA" w:eastAsia="uk-UA"/>
    </w:rPr>
  </w:style>
  <w:style w:type="paragraph" w:styleId="760">
    <w:name w:val="No Spacing"/>
    <w:link w:val="761"/>
    <w:uiPriority w:val="1"/>
    <w:qFormat/>
    <w:pPr>
      <w:spacing w:after="0" w:line="240" w:lineRule="auto"/>
    </w:pPr>
    <w:rPr>
      <w:rFonts w:ascii="Calibri" w:hAnsi="Calibri" w:eastAsia="Calibri" w:cs="Times New Roman"/>
      <w:lang w:val="uk-UA"/>
    </w:rPr>
  </w:style>
  <w:style w:type="character" w:styleId="761" w:customStyle="1">
    <w:name w:val="Без інтервалів Знак"/>
    <w:basedOn w:val="741"/>
    <w:link w:val="760"/>
    <w:uiPriority w:val="1"/>
    <w:rPr>
      <w:rFonts w:ascii="Calibri" w:hAnsi="Calibri" w:eastAsia="Calibri" w:cs="Times New Roman"/>
      <w:lang w:val="uk-UA"/>
    </w:rPr>
  </w:style>
  <w:style w:type="character" w:styleId="762" w:customStyle="1">
    <w:name w:val="Другое_"/>
    <w:basedOn w:val="741"/>
    <w:link w:val="763"/>
    <w:rPr>
      <w:rFonts w:ascii="Calibri" w:hAnsi="Calibri" w:eastAsia="Calibri" w:cs="Calibri"/>
      <w:sz w:val="20"/>
      <w:szCs w:val="20"/>
    </w:rPr>
  </w:style>
  <w:style w:type="paragraph" w:styleId="763" w:customStyle="1">
    <w:name w:val="Другое"/>
    <w:basedOn w:val="737"/>
    <w:link w:val="762"/>
    <w:qFormat/>
    <w:pPr>
      <w:spacing w:after="0" w:line="240" w:lineRule="auto"/>
      <w:widowControl w:val="off"/>
    </w:pPr>
    <w:rPr>
      <w:rFonts w:ascii="Calibri" w:hAnsi="Calibri" w:eastAsia="Calibri" w:cs="Calibri"/>
      <w:sz w:val="20"/>
      <w:szCs w:val="20"/>
      <w:lang w:val="ru-RU"/>
    </w:rPr>
  </w:style>
  <w:style w:type="paragraph" w:styleId="76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5" w:customStyle="1">
    <w:name w:val="Основной текст (2)_"/>
    <w:basedOn w:val="741"/>
    <w:link w:val="766"/>
    <w:rPr>
      <w:rFonts w:eastAsia="Times New Roman" w:cs="Times New Roman"/>
      <w:shd w:val="clear" w:color="auto" w:fill="ffffff"/>
    </w:rPr>
  </w:style>
  <w:style w:type="paragraph" w:styleId="766" w:customStyle="1">
    <w:name w:val="Основной текст (2)"/>
    <w:basedOn w:val="737"/>
    <w:link w:val="765"/>
    <w:pPr>
      <w:ind w:hanging="700"/>
      <w:jc w:val="both"/>
      <w:spacing w:before="240" w:after="480" w:line="0" w:lineRule="atLeast"/>
      <w:shd w:val="clear" w:color="auto" w:fill="ffffff"/>
      <w:widowControl w:val="off"/>
    </w:pPr>
    <w:rPr>
      <w:rFonts w:eastAsia="Times New Roman" w:cs="Times New Roman"/>
      <w:lang w:val="ru-RU"/>
    </w:rPr>
  </w:style>
  <w:style w:type="character" w:styleId="767" w:customStyle="1">
    <w:name w:val="Текст у виносці Знак"/>
    <w:basedOn w:val="741"/>
    <w:link w:val="768"/>
    <w:uiPriority w:val="99"/>
    <w:semiHidden/>
    <w:rPr>
      <w:rFonts w:ascii="Segoe UI" w:hAnsi="Segoe UI" w:eastAsia="Times New Roman" w:cs="Segoe UI"/>
      <w:sz w:val="18"/>
      <w:szCs w:val="18"/>
      <w:lang w:eastAsia="ru-RU"/>
    </w:rPr>
  </w:style>
  <w:style w:type="paragraph" w:styleId="768">
    <w:name w:val="Balloon Text"/>
    <w:basedOn w:val="737"/>
    <w:link w:val="76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9" w:customStyle="1">
    <w:name w:val="Текст у виносці Знак1"/>
    <w:basedOn w:val="741"/>
    <w:uiPriority w:val="99"/>
    <w:semiHidden/>
    <w:rPr>
      <w:rFonts w:ascii="Segoe UI" w:hAnsi="Segoe UI" w:cs="Segoe UI"/>
      <w:sz w:val="18"/>
      <w:szCs w:val="18"/>
      <w:lang w:val="uk-UA"/>
    </w:rPr>
  </w:style>
  <w:style w:type="character" w:styleId="770" w:customStyle="1">
    <w:name w:val="T23"/>
    <w:rPr>
      <w:rFonts w:hint="default" w:ascii="Times New Roman" w:hAnsi="Times New Roman" w:eastAsia="Times New Roman1" w:cs="Times New Roman"/>
    </w:rPr>
  </w:style>
  <w:style w:type="paragraph" w:styleId="771" w:customStyle="1">
    <w:name w:val="Абзац списку1"/>
    <w:basedOn w:val="73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2" w:customStyle="1">
    <w:name w:val="markedcontent"/>
    <w:basedOn w:val="741"/>
  </w:style>
  <w:style w:type="paragraph" w:styleId="773">
    <w:name w:val="annotation text"/>
    <w:basedOn w:val="737"/>
    <w:link w:val="77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4" w:customStyle="1">
    <w:name w:val="Текст примітки Знак"/>
    <w:basedOn w:val="741"/>
    <w:link w:val="773"/>
    <w:uiPriority w:val="99"/>
    <w:rPr>
      <w:rFonts w:ascii="Times New Roman" w:hAnsi="Times New Roman" w:eastAsia="Times New Roman" w:cs="Times New Roman"/>
      <w:sz w:val="20"/>
      <w:szCs w:val="20"/>
      <w:lang w:eastAsia="ru-RU"/>
    </w:rPr>
  </w:style>
  <w:style w:type="character" w:styleId="775" w:customStyle="1">
    <w:name w:val="docdata"/>
    <w:basedOn w:val="741"/>
  </w:style>
  <w:style w:type="character" w:styleId="776" w:customStyle="1">
    <w:name w:val="Заголовок 3 Знак"/>
    <w:basedOn w:val="741"/>
    <w:link w:val="739"/>
    <w:uiPriority w:val="9"/>
    <w:semiHidden/>
    <w:rPr>
      <w:rFonts w:asciiTheme="majorHAnsi" w:hAnsiTheme="majorHAnsi" w:eastAsiaTheme="majorEastAsia" w:cstheme="majorBidi"/>
      <w:color w:val="1f4d78" w:themeColor="accent1" w:themeShade="7F"/>
      <w:sz w:val="24"/>
      <w:szCs w:val="24"/>
      <w:lang w:val="uk-UA"/>
    </w:rPr>
  </w:style>
  <w:style w:type="character" w:styleId="777" w:customStyle="1">
    <w:name w:val="Заголовок 4 Знак"/>
    <w:basedOn w:val="741"/>
    <w:link w:val="740"/>
    <w:uiPriority w:val="9"/>
    <w:semiHidden/>
    <w:rPr>
      <w:rFonts w:asciiTheme="majorHAnsi" w:hAnsiTheme="majorHAnsi" w:eastAsiaTheme="majorEastAsia" w:cstheme="majorBidi"/>
      <w:i/>
      <w:iCs/>
      <w:color w:val="2e74b5" w:themeColor="accent1" w:themeShade="BF"/>
      <w:lang w:val="uk-UA"/>
    </w:rPr>
  </w:style>
  <w:style w:type="paragraph" w:styleId="778" w:customStyle="1">
    <w:name w:val="name-spec"/>
    <w:basedOn w:val="73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9" w:customStyle="1">
    <w:name w:val="cont-spec"/>
    <w:basedOn w:val="73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0">
    <w:name w:val="Strong"/>
    <w:basedOn w:val="741"/>
    <w:uiPriority w:val="22"/>
    <w:qFormat/>
    <w:rPr>
      <w:b/>
      <w:bCs/>
    </w:rPr>
  </w:style>
  <w:style w:type="paragraph" w:styleId="781" w:customStyle="1">
    <w:name w:val="rvps6"/>
    <w:basedOn w:val="73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8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uk.wikipedia.org/wiki/%D0%9E%D0%BF%D0%B5%D1%80%D0%B0%D1%86%D1%96%D0%B9%D0%BD%D0%B0_%D1%81%D0%B8%D1%81%D1%82%D0%B5%D0%BC%D0%B0" TargetMode="External"/><Relationship Id="rId12" Type="http://schemas.openxmlformats.org/officeDocument/2006/relationships/hyperlink" Target="https://uk.wikipedia.org/wiki/Windows_N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2024-08-05T10:20:38Z</dcterms:modified>
</cp:coreProperties>
</file>