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автоматизованих робочих місць, робочих станцій та планшетного комп’ютера за кодом CPV за ЄЗС ДК 021:2015: 30210000-4 Машини для обробки даних (апаратна частина)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014</w:t>
      </w:r>
      <w:r>
        <w:rPr>
          <w:rFonts w:ascii="Times New Roman" w:hAnsi="Times New Roman" w:cs="Times New Roman"/>
          <w:sz w:val="24"/>
          <w:szCs w:val="24"/>
        </w:rPr>
        <w:t xml:space="preserve">368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автоматизованих робочих місць, робочих станцій та планшетного комп’ютера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8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00"/>
              <w:jc w:val="both"/>
              <w:rPr>
                <w:b/>
              </w:rPr>
            </w:pPr>
            <w:r>
              <w:rPr>
                <w:rStyle w:val="724"/>
                <w:b/>
                <w:bCs/>
                <w:shd w:val="clear" w:color="auto" w:fill="ffffff"/>
              </w:rPr>
              <w:t xml:space="preserve">Автоматизоване робоче місце №1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</w:pPr>
            <w:r>
              <w:rPr>
                <w:b/>
                <w:bCs/>
                <w:color w:val="000000"/>
              </w:rPr>
              <w:t xml:space="preserve">3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00"/>
              <w:jc w:val="both"/>
              <w:rPr>
                <w:b/>
                <w:bCs/>
              </w:rPr>
            </w:pPr>
            <w:r>
              <w:rPr>
                <w:rStyle w:val="724"/>
                <w:b/>
                <w:bCs/>
                <w:shd w:val="clear" w:color="auto" w:fill="ffffff"/>
              </w:rPr>
              <w:t xml:space="preserve">Автоматизоване робоче місце №2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Робоча станція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Планшетний комп’ютер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700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00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700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6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 повинен бути офіційно ввезений на територію України та мати відповідні документи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712"/>
        <w:ind w:firstLine="567"/>
        <w:jc w:val="center"/>
        <w:rPr>
          <w:rStyle w:val="722"/>
          <w:b/>
          <w:bCs/>
          <w:sz w:val="24"/>
          <w:szCs w:val="24"/>
          <w:lang w:eastAsia="ru-RU"/>
        </w:rPr>
      </w:pPr>
      <w:r>
        <w:rPr>
          <w:rStyle w:val="722"/>
          <w:b/>
          <w:bCs/>
          <w:sz w:val="24"/>
          <w:szCs w:val="24"/>
          <w:lang w:eastAsia="ru-RU"/>
        </w:rPr>
        <w:t xml:space="preserve">СПЕЦИФІКАЦІЯ</w:t>
      </w:r>
      <w:bookmarkEnd w:id="0"/>
      <w:r/>
    </w:p>
    <w:tbl>
      <w:tblPr>
        <w:tblW w:w="1085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8"/>
        <w:gridCol w:w="1889"/>
        <w:gridCol w:w="1646"/>
        <w:gridCol w:w="6173"/>
        <w:gridCol w:w="838"/>
      </w:tblGrid>
      <w:tr>
        <w:trPr>
          <w:trHeight w:val="585"/>
        </w:trPr>
        <w:tc>
          <w:tcPr>
            <w:shd w:val="clear" w:color="auto" w:fill="auto"/>
            <w:tcW w:w="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W w:w="17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gridSpan w:val="2"/>
            <w:shd w:val="clear" w:color="auto" w:fill="auto"/>
            <w:tcW w:w="78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W w:w="8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К-сть,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W w:w="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/>
          </w:p>
        </w:tc>
        <w:tc>
          <w:tcPr>
            <w:shd w:val="clear" w:color="auto" w:fill="auto"/>
            <w:tcW w:w="1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Автоматизоване робоче місце №1 у складі: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1,60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4,90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</w:tc>
        <w:tc>
          <w:tcPr>
            <w:shd w:val="clear" w:color="auto" w:fill="auto"/>
            <w:tcW w:w="83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охолодження процесора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Повітряне (радіатор + вентилятор)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 менше 6 теплових трубок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максимально можливий рівень відведення тепла, заявлений виробником, не менше 250Вт.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090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Чипсет: 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Z690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HDMI;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 порти USB 3.2 Gen1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2.0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 Аудіо портів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5.0 x16, 1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 4, 3x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64Gb DDR4 3600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двома модулями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№1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SSD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Об'єм: не менше ніж 1TB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№2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HDD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Об'єм: не менше ніж 2TB 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GeForce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RTX 3060 8Гб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Bluetooth 5.2, Wi-Fi 6E (802.11ax)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650W 80+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Bronze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вентилятор блоку живлення не менше 120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 Windows®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Монітор№1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48.5”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екрану: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кривизною 1000R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VA, матове покриття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5120 x 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420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2500:1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частота оновлення: Не гірше ніж 240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1 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2 x DP, 1x HDMI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VESA кріплення: Не гірше 100 х 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Поворотний, з регулюванням по висоті, з гніздо для навушників 3.5 мм, USB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Гарантія: Не менше ніж 36 міс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 №2</w:t>
            </w:r>
            <w:r/>
          </w:p>
        </w:tc>
        <w:tc>
          <w:tcPr>
            <w:shd w:val="clear" w:color="auto" w:fill="auto"/>
            <w:tcW w:w="617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27.0”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екрану: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кривизною 1500R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VA, матове покриття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2560х1440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300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4000:1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частота оновлення: Не гірше ніж 165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5 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2 x DP, 1x HDMI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VESA кріплення: Не гірше 100 х 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Гніздо для навушників 3.5 мм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ДБЖ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лінійно-інтерактивний;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Вхідна напруга: не менше ніж 210 - 240V AC 50Hz;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Вихідна напруга: не менше ніж 210 - 240V AC 50Hz;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вихідних розеток: не менше ніж 4, тип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Вихідна потужність: не менше ніж 1550 ВА/900 Вт;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Акумуляторна батарея: вбудована свинцево-кислотна;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Корпус: металевий або пластиковий;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LCD екран, USB порт для керування та моніторингу роботи (кабель у комплекті);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функцій захисту: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мережі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перегріву;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низької напруги та перенапруги;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короткого замикання.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Веб-камера 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роздільна здатність відео: не гірше </w:t>
            </w:r>
            <w:r>
              <w:rPr>
                <w:color w:val="000000"/>
              </w:rPr>
              <w:t xml:space="preserve">FullHD</w:t>
            </w:r>
            <w:r>
              <w:rPr>
                <w:color w:val="000000"/>
              </w:rPr>
              <w:t xml:space="preserve"> (1920x1080); </w:t>
            </w:r>
            <w:r/>
          </w:p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кріплення: настільне, прищіпка; </w:t>
            </w:r>
            <w:r/>
          </w:p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живлення: USB; </w:t>
            </w:r>
            <w:r/>
          </w:p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частота кадрів на секунду: не менше 60; </w:t>
            </w:r>
            <w:r/>
          </w:p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фокусування: </w:t>
            </w:r>
            <w:r>
              <w:rPr>
                <w:color w:val="000000"/>
              </w:rPr>
              <w:t xml:space="preserve">автофокус</w:t>
            </w:r>
            <w:r>
              <w:rPr>
                <w:color w:val="000000"/>
              </w:rPr>
              <w:t xml:space="preserve">;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огляду: не менше 78°.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клавіатура та миша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Бездротовий комплект (клавіатура + миша)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101, з окремим блоком для набору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миші: Оптична, не менше 1000 DPI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миші: Щонайменше 3: ліва, права, колесо-кнопка для скролінг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Гарантія: Не менше ніж 36 міс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персональний комп’ютер, монітори  та комплект клавіатура/мишка не менше ніж 36; на ДБЖ не менше ніж 12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W w:w="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auto" w:fill="auto"/>
            <w:tcW w:w="1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Автоматизоване робоче місце №2 у складі: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1,60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4,90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</w:tc>
        <w:tc>
          <w:tcPr>
            <w:shd w:val="clear" w:color="auto" w:fill="auto"/>
            <w:tcW w:w="83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охолодження процесора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Повітряне (радіатор + вентилятор)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 менше 6 теплових трубок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максимально можливий рівень відведення тепла, заявлений виробником, не менше 250Вт.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Чипсет: 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Z690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HDMI;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 порти USB 3.2 Gen1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2.0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 Аудіо портів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5.0 x16, 1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 4, 3x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64Gb DDR4 3600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двома модулями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№1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SSD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Об'єм: не менше ніж 1TB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№2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HDD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Об'єм: не менше ніж 2TB 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GeForce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RTX 4070 12Гб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Bluetooth 5.2, Wi-Fi 6E (802.11ax)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1000W 80+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Bronze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вентилятор блоку живлення не менше 120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 Windows®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shd w:val="clear" w:color="auto" w:fill="auto"/>
            <w:tcW w:w="617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27.0”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екрану: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кривизною 1500R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VA, матове покриття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2560х1440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300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4000:1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частота оновлення: Не гірше ніж 165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5 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2 x DP, 1x HDMI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VESA кріплення: Не гірше 100 х 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Гніздо для навушників 3.5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моніторів – 2 шт.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ДБЖ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лінійно-інтерактивний;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Вхідна напруга: не менше ніж 210 - 240V AC 50Hz;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Вихідна напруга: не менше ніж 210 - 240V AC 50Hz;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вихідних розеток: не менше ніж 4, тип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Вихідна потужність: не менше ніж 1550 ВА/900 Вт;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Акумуляторна батарея: вбудована свинцево-кислотна;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Корпус: металевий або пластиковий;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LCD екран, USB порт для керування та моніторингу роботи (кабель у комплекті);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функцій захисту: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мережі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перегріву;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низької напруги та перенапруги;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короткого замикання.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Веб-камера 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роздільна здатність відео: не гірше </w:t>
            </w:r>
            <w:r>
              <w:rPr>
                <w:color w:val="000000"/>
              </w:rPr>
              <w:t xml:space="preserve">FullHD</w:t>
            </w:r>
            <w:r>
              <w:rPr>
                <w:color w:val="000000"/>
              </w:rPr>
              <w:t xml:space="preserve"> (1920x1080); </w:t>
            </w:r>
            <w:r/>
          </w:p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кріплення: настільне, прищіпка; </w:t>
            </w:r>
            <w:r/>
          </w:p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живлення: USB; </w:t>
            </w:r>
            <w:r/>
          </w:p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частота кадрів на секунду:  не менше 60; </w:t>
            </w:r>
            <w:r/>
          </w:p>
          <w:p>
            <w:pPr>
              <w:pStyle w:val="700"/>
              <w:spacing w:after="0" w:line="240" w:lineRule="auto"/>
            </w:pPr>
            <w:r>
              <w:rPr>
                <w:color w:val="000000"/>
              </w:rPr>
              <w:t xml:space="preserve">фокусування: </w:t>
            </w:r>
            <w:r>
              <w:rPr>
                <w:color w:val="000000"/>
              </w:rPr>
              <w:t xml:space="preserve">автофокус</w:t>
            </w:r>
            <w:r>
              <w:rPr>
                <w:color w:val="000000"/>
              </w:rPr>
              <w:t xml:space="preserve">;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огляду: не менше 78°.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клавіатура та миша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Бездротовий комплект (клавіатура + миша)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101, з окремим блоком для набору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миші: Оптична, не менше 1000 DPI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миші: Щонайменше 3: ліва, права, колесо-кнопка для скролінг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Гарантія: Не менше ніж 36 міс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3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75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shd w:val="clear" w:color="auto" w:fill="auto"/>
            <w:tcW w:w="617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персональний комп’ютер, монітор  та комплект клавіатура/мишка не менше ніж 36; на ДБЖ не менше ніж 12</w:t>
            </w:r>
            <w:r/>
          </w:p>
        </w:tc>
        <w:tc>
          <w:tcPr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tbl>
      <w:tblPr>
        <w:tblpPr w:horzAnchor="margin" w:tblpXSpec="center" w:vertAnchor="page" w:tblpY="647" w:leftFromText="180" w:topFromText="0" w:rightFromText="180" w:bottomFromText="0"/>
        <w:tblW w:w="10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8"/>
        <w:gridCol w:w="1581"/>
        <w:gridCol w:w="2881"/>
        <w:gridCol w:w="4793"/>
        <w:gridCol w:w="877"/>
      </w:tblGrid>
      <w:tr>
        <w:trPr>
          <w:trHeight w:val="585"/>
        </w:trPr>
        <w:tc>
          <w:tcPr>
            <w:shd w:val="clear" w:color="auto" w:fill="auto"/>
            <w:tcW w:w="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/>
            <w:bookmarkStart w:id="3" w:name="_Hlk14836330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W w:w="15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gridSpan w:val="2"/>
            <w:shd w:val="clear" w:color="auto" w:fill="auto"/>
            <w:tcW w:w="76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W w:w="8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W w:w="4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1581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Робоча станція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</w:t>
            </w:r>
            <w:r/>
          </w:p>
        </w:tc>
        <w:tc>
          <w:tcPr>
            <w:shd w:val="clear" w:color="auto" w:fill="auto"/>
            <w:tcW w:w="87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Діагональ / роздільна здатність екрану / частота оновлення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15.6"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FullHD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1920x1080 /60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Матриця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IPS з матовим покриттям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Яскравість екрану,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/м²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250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2,0 ГГц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4,40 ГГц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Відеокарта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GeForce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RTX 3050 4GB GDDR6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пам'ять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32Гб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SSD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Об'єм: не менше ніж 512Гб 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введення/виводу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1 x HDMI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1 x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3 x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1 x RJ-45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1 x 3.5mm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Audio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Jack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Безпроводні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технології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802.11ax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v5.1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Клавіатура 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тачпад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Тачпад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прихованими кнопками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Клавіатура з цифровим блоком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Мультимедіа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Вбудовані камера, мікрофон,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стереодинаміки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Додатково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Kensington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Встановлена ліцензійна операційна система Microsoft Windows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64-bit з україномовним інтерфейсом та пакетом драйверів. Активація ліцензії проводиться замовником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Батарея, Вт/Год 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50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(Д х Ш х В), мм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більше 363 x 238 x 20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Вага, кг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більше 2,1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Колір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Чорний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 міс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W w:w="4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shd w:val="clear" w:color="auto" w:fill="auto"/>
            <w:tcW w:w="1581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Планшетний комп’ютер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Тип: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Планшет</w:t>
            </w:r>
            <w:r/>
          </w:p>
        </w:tc>
        <w:tc>
          <w:tcPr>
            <w:shd w:val="clear" w:color="auto" w:fill="auto"/>
            <w:tcW w:w="87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Попередньо встановлена ОС 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нижче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Android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11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Діагональ екрану, дюймів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10,5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Роздільна здатність 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1920x1200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Тип матриці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TFT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Датчик освітленості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Оперативна пам'ять, ГБ 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4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Вбудована пам'ять, ГБ 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64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Слот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розширення пам'яті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 1TB))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Частота процесора, ГГц  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2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процесора 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8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Вбудовані динаміки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Ємність батареї,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мАг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7040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Фронтальна камера,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Мп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5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Тилова камера,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Мп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8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Wi-Fi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802.11ac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Модуль 4G (LTE)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4G (LTE)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Голосовий зв'язок в GSM/3G мережах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GPS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(GPS, A-GPS, Galileo,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Glonass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Зовнішні порти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USB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-C, 3.5 мм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Вага, г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508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Розміри, мм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246.8 x 161.9 x 6.9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Колір корпусу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Сірий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Колір лицьової панелі</w:t>
            </w:r>
            <w:r/>
          </w:p>
        </w:tc>
        <w:tc>
          <w:tcPr>
            <w:shd w:val="clear" w:color="000000" w:fill="ffffff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Чорний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shd w:val="clear" w:color="auto" w:fill="auto"/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 міс</w:t>
            </w:r>
            <w:r/>
          </w:p>
        </w:tc>
        <w:tc>
          <w:tcPr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bookmarkEnd w:id="3"/>
            <w:r/>
          </w:p>
        </w:tc>
      </w:tr>
    </w:tbl>
    <w:p>
      <w:pPr>
        <w:pStyle w:val="723"/>
        <w:ind w:left="0"/>
        <w:spacing w:line="240" w:lineRule="auto"/>
        <w:tabs>
          <w:tab w:val="left" w:pos="993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723"/>
        <w:numPr>
          <w:ilvl w:val="0"/>
          <w:numId w:val="24"/>
        </w:numPr>
        <w:ind w:left="0" w:firstLine="709"/>
        <w:spacing w:line="240" w:lineRule="auto"/>
        <w:tabs>
          <w:tab w:val="num" w:pos="0" w:leader="none"/>
          <w:tab w:val="clear" w:pos="566" w:leader="none"/>
          <w:tab w:val="left" w:pos="993" w:leader="none"/>
        </w:tabs>
      </w:pPr>
      <w:r>
        <w:t xml:space="preserve">Товар повинен бути новим та не відновленим, таким що не використовувався раніше. </w:t>
      </w:r>
      <w:r>
        <w:rPr>
          <w:b/>
          <w:i/>
        </w:rPr>
        <w:t xml:space="preserve">(Надати учасником гарантійний лист)</w:t>
      </w:r>
      <w:r>
        <w:rPr>
          <w:color w:val="000000"/>
        </w:rPr>
        <w:t xml:space="preserve">.</w:t>
      </w:r>
      <w:r/>
    </w:p>
    <w:p>
      <w:pPr>
        <w:pStyle w:val="696"/>
        <w:numPr>
          <w:ilvl w:val="0"/>
          <w:numId w:val="25"/>
        </w:numPr>
        <w:ind w:left="0" w:firstLine="709"/>
        <w:jc w:val="both"/>
        <w:spacing w:after="0" w:line="240" w:lineRule="auto"/>
        <w:widowControl w:val="off"/>
        <w:tabs>
          <w:tab w:val="num" w:pos="0" w:leader="none"/>
          <w:tab w:val="clear" w:pos="566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не є </w:t>
      </w:r>
      <w:r>
        <w:rPr>
          <w:rFonts w:ascii="Times New Roman" w:hAnsi="Times New Roman" w:cs="Times New Roman"/>
          <w:sz w:val="24"/>
          <w:szCs w:val="24"/>
        </w:rPr>
        <w:t xml:space="preserve">виробником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персональний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комп’ютер</w:t>
      </w:r>
      <w:r>
        <w:rPr>
          <w:rFonts w:ascii="Times New Roman" w:hAnsi="Times New Roman" w:cs="Times New Roman"/>
          <w:sz w:val="24"/>
          <w:szCs w:val="24"/>
        </w:rPr>
        <w:t xml:space="preserve">), то </w:t>
      </w:r>
      <w:r>
        <w:rPr>
          <w:rFonts w:ascii="Times New Roman" w:hAnsi="Times New Roman" w:cs="Times New Roman"/>
          <w:sz w:val="24"/>
          <w:szCs w:val="24"/>
        </w:rPr>
        <w:t xml:space="preserve">він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відсутності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дистриб’ютора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представницькі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партнерські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повноваження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документ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має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Учаснику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підписаний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уповноваженою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особою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імпортера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Україні</w:t>
      </w:r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 xml:space="preserve">містити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посилання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процедуру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(на номер і дату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оприлюднення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оголошення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веб-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порталі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Уповноваженого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органу) 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найменування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товару. У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надання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листа (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інших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(-</w:t>
      </w:r>
      <w:r>
        <w:rPr>
          <w:rFonts w:ascii="Times New Roman" w:hAnsi="Times New Roman" w:cs="Times New Roman"/>
          <w:bCs/>
          <w:sz w:val="24"/>
          <w:szCs w:val="24"/>
        </w:rPr>
        <w:t xml:space="preserve">ів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іноземною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мовою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лист повинен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супроводжуватись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перекладом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українську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мову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pStyle w:val="696"/>
        <w:numPr>
          <w:ilvl w:val="0"/>
          <w:numId w:val="25"/>
        </w:numPr>
        <w:ind w:left="0" w:firstLine="709"/>
        <w:jc w:val="both"/>
        <w:spacing w:after="0" w:line="240" w:lineRule="auto"/>
        <w:widowControl w:val="off"/>
        <w:tabs>
          <w:tab w:val="num" w:pos="0" w:leader="none"/>
          <w:tab w:val="clear" w:pos="566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довідку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формі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таблиці-порівняння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інформацією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технічні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моделі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походження</w:t>
      </w:r>
      <w:r>
        <w:rPr>
          <w:rFonts w:ascii="Times New Roman" w:hAnsi="Times New Roman" w:cs="Times New Roman"/>
          <w:sz w:val="24"/>
          <w:szCs w:val="24"/>
        </w:rPr>
        <w:t xml:space="preserve">, року </w:t>
      </w:r>
      <w:r>
        <w:rPr>
          <w:rFonts w:ascii="Times New Roman" w:hAnsi="Times New Roman" w:cs="Times New Roman"/>
          <w:sz w:val="24"/>
          <w:szCs w:val="24"/>
        </w:rPr>
        <w:t xml:space="preserve">виготовлення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 та </w:t>
      </w:r>
      <w:r>
        <w:rPr>
          <w:rFonts w:ascii="Times New Roman" w:hAnsi="Times New Roman" w:cs="Times New Roman"/>
          <w:sz w:val="24"/>
          <w:szCs w:val="24"/>
        </w:rPr>
        <w:t xml:space="preserve">ознак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(не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) предмету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складену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основі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6"/>
        <w:numPr>
          <w:ilvl w:val="0"/>
          <w:numId w:val="25"/>
        </w:numPr>
        <w:ind w:left="0" w:firstLine="709"/>
        <w:jc w:val="both"/>
        <w:spacing w:after="0" w:line="240" w:lineRule="auto"/>
        <w:widowControl w:val="off"/>
        <w:tabs>
          <w:tab w:val="num" w:pos="0" w:leader="none"/>
          <w:tab w:val="clear" w:pos="566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персональний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комп’ютер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Декларації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96"/>
        <w:numPr>
          <w:ilvl w:val="0"/>
          <w:numId w:val="23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з </w:t>
      </w:r>
      <w:r>
        <w:rPr>
          <w:rFonts w:ascii="Times New Roman" w:hAnsi="Times New Roman" w:cs="Times New Roman"/>
          <w:sz w:val="24"/>
          <w:szCs w:val="24"/>
        </w:rPr>
        <w:t xml:space="preserve">електромагнітної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сумісності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N 1077;</w:t>
      </w:r>
      <w:r/>
    </w:p>
    <w:p>
      <w:pPr>
        <w:pStyle w:val="696"/>
        <w:numPr>
          <w:ilvl w:val="0"/>
          <w:numId w:val="23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</w:t>
      </w:r>
      <w:r>
        <w:rPr>
          <w:rFonts w:ascii="Times New Roman" w:hAnsi="Times New Roman" w:cs="Times New Roman"/>
          <w:sz w:val="24"/>
          <w:szCs w:val="24"/>
        </w:rPr>
        <w:t xml:space="preserve">низьковольтного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N 1067.</w:t>
      </w:r>
      <w:r/>
    </w:p>
    <w:p>
      <w:pPr>
        <w:pStyle w:val="696"/>
        <w:numPr>
          <w:ilvl w:val="0"/>
          <w:numId w:val="23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</w:t>
      </w:r>
      <w:r>
        <w:rPr>
          <w:rFonts w:ascii="Times New Roman" w:hAnsi="Times New Roman" w:cs="Times New Roman"/>
          <w:sz w:val="24"/>
          <w:szCs w:val="24"/>
        </w:rPr>
        <w:t xml:space="preserve">обмеження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небезпечних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речовин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електричному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електронному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обладнанні</w:t>
      </w:r>
      <w:r>
        <w:rPr>
          <w:rFonts w:ascii="Times New Roman" w:hAnsi="Times New Roman" w:cs="Times New Roman"/>
          <w:sz w:val="24"/>
          <w:szCs w:val="24"/>
        </w:rPr>
        <w:t xml:space="preserve"> (ПКМУ №139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10.03.2017),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комп’ютерів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6"/>
        <w:numPr>
          <w:ilvl w:val="0"/>
          <w:numId w:val="25"/>
        </w:numPr>
        <w:ind w:left="0" w:firstLine="709"/>
        <w:jc w:val="both"/>
        <w:spacing w:after="0" w:line="240" w:lineRule="auto"/>
        <w:widowControl w:val="off"/>
        <w:tabs>
          <w:tab w:val="num" w:pos="0" w:leader="none"/>
          <w:tab w:val="clear" w:pos="566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персональний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комп’ютер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сертифікатів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96"/>
        <w:numPr>
          <w:ilvl w:val="0"/>
          <w:numId w:val="23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</w:rPr>
        <w:t xml:space="preserve">управління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якістю</w:t>
      </w:r>
      <w:r>
        <w:rPr>
          <w:rFonts w:ascii="Times New Roman" w:hAnsi="Times New Roman" w:cs="Times New Roman"/>
          <w:sz w:val="24"/>
          <w:szCs w:val="24"/>
        </w:rPr>
        <w:t xml:space="preserve"> ДСТУ ISO 9001:2018; </w:t>
      </w:r>
      <w:r/>
    </w:p>
    <w:p>
      <w:pPr>
        <w:pStyle w:val="696"/>
        <w:numPr>
          <w:ilvl w:val="0"/>
          <w:numId w:val="23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</w:rPr>
        <w:t xml:space="preserve">екологічного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керування</w:t>
      </w:r>
      <w:r>
        <w:rPr>
          <w:rFonts w:ascii="Times New Roman" w:hAnsi="Times New Roman" w:cs="Times New Roman"/>
          <w:sz w:val="24"/>
          <w:szCs w:val="24"/>
        </w:rPr>
        <w:t xml:space="preserve"> ДСТУ ISO 14001:2015; </w:t>
      </w:r>
      <w:r/>
    </w:p>
    <w:p>
      <w:pPr>
        <w:pStyle w:val="696"/>
        <w:numPr>
          <w:ilvl w:val="0"/>
          <w:numId w:val="23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</w:rPr>
        <w:t xml:space="preserve"> менеджменту </w:t>
      </w:r>
      <w:r>
        <w:rPr>
          <w:rFonts w:ascii="Times New Roman" w:hAnsi="Times New Roman" w:cs="Times New Roman"/>
          <w:sz w:val="24"/>
          <w:szCs w:val="24"/>
        </w:rPr>
        <w:t xml:space="preserve">охорони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здоров'я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безпеки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праці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Вимоги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настанови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застосовування</w:t>
      </w:r>
      <w:r>
        <w:rPr>
          <w:rFonts w:ascii="Times New Roman" w:hAnsi="Times New Roman" w:cs="Times New Roman"/>
          <w:sz w:val="24"/>
          <w:szCs w:val="24"/>
        </w:rPr>
        <w:t xml:space="preserve"> ISO 45001:2018.</w:t>
      </w:r>
      <w:r/>
    </w:p>
    <w:p>
      <w:pPr>
        <w:pStyle w:val="696"/>
        <w:numPr>
          <w:ilvl w:val="0"/>
          <w:numId w:val="25"/>
        </w:numPr>
        <w:ind w:left="0" w:firstLine="709"/>
        <w:jc w:val="both"/>
        <w:spacing w:after="0" w:line="240" w:lineRule="auto"/>
        <w:widowControl w:val="off"/>
        <w:tabs>
          <w:tab w:val="num" w:pos="0" w:leader="none"/>
          <w:tab w:val="clear" w:pos="566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підтримки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яких</w:t>
      </w:r>
      <w:r>
        <w:rPr>
          <w:rFonts w:ascii="Times New Roman" w:hAnsi="Times New Roman" w:cs="Times New Roman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sz w:val="24"/>
          <w:szCs w:val="24"/>
        </w:rPr>
        <w:t xml:space="preserve">здійснюватися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Під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гарантії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серійних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номерів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/>
    </w:p>
    <w:p>
      <w:pPr>
        <w:pStyle w:val="696"/>
        <w:numPr>
          <w:ilvl w:val="0"/>
          <w:numId w:val="25"/>
        </w:numPr>
        <w:ind w:left="0" w:firstLine="709"/>
        <w:jc w:val="both"/>
        <w:spacing w:after="0" w:line="240" w:lineRule="auto"/>
        <w:widowControl w:val="off"/>
        <w:tabs>
          <w:tab w:val="num" w:pos="0" w:leader="none"/>
          <w:tab w:val="left" w:pos="284" w:leader="none"/>
          <w:tab w:val="clear" w:pos="566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звернутися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підтвердженням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наданої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державної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підприємств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організацій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компетенції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зазначення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суттєвою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визначенні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відхиляє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відхилити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pStyle w:val="696"/>
        <w:numPr>
          <w:ilvl w:val="0"/>
          <w:numId w:val="25"/>
        </w:numPr>
        <w:contextualSpacing w:val="0"/>
        <w:ind w:left="0" w:firstLine="709"/>
        <w:jc w:val="both"/>
        <w:spacing w:after="0" w:line="240" w:lineRule="auto"/>
        <w:tabs>
          <w:tab w:val="num" w:pos="0" w:leader="none"/>
          <w:tab w:val="clear" w:pos="566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Товару, </w:t>
      </w:r>
      <w:r>
        <w:rPr>
          <w:rFonts w:ascii="Times New Roman" w:hAnsi="Times New Roman" w:cs="Times New Roman"/>
          <w:sz w:val="24"/>
          <w:szCs w:val="24"/>
        </w:rPr>
        <w:t xml:space="preserve">навантаження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розвантаження</w:t>
      </w:r>
      <w:r>
        <w:rPr>
          <w:rFonts w:ascii="Times New Roman" w:hAnsi="Times New Roman" w:cs="Times New Roman"/>
          <w:sz w:val="24"/>
          <w:szCs w:val="24"/>
        </w:rPr>
        <w:t xml:space="preserve"> Товару на склад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здійснюється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Переможцем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власний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рахунок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6"/>
        <w:numPr>
          <w:ilvl w:val="0"/>
          <w:numId w:val="25"/>
        </w:numPr>
        <w:contextualSpacing w:val="0"/>
        <w:ind w:left="0" w:firstLine="709"/>
        <w:jc w:val="both"/>
        <w:spacing w:after="0" w:line="240" w:lineRule="auto"/>
        <w:tabs>
          <w:tab w:val="num" w:pos="0" w:leader="none"/>
          <w:tab w:val="clear" w:pos="566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документ (</w:t>
      </w:r>
      <w:r>
        <w:rPr>
          <w:rFonts w:ascii="Times New Roman" w:hAnsi="Times New Roman" w:cs="Times New Roman"/>
          <w:sz w:val="24"/>
          <w:szCs w:val="24"/>
        </w:rPr>
        <w:t xml:space="preserve">довідка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експертний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висновок</w:t>
      </w:r>
      <w:r>
        <w:rPr>
          <w:rFonts w:ascii="Times New Roman" w:hAnsi="Times New Roman" w:cs="Times New Roman"/>
          <w:sz w:val="24"/>
          <w:szCs w:val="24"/>
        </w:rPr>
        <w:t xml:space="preserve"> Торгово-</w:t>
      </w:r>
      <w:r>
        <w:rPr>
          <w:rFonts w:ascii="Times New Roman" w:hAnsi="Times New Roman" w:cs="Times New Roman"/>
          <w:sz w:val="24"/>
          <w:szCs w:val="24"/>
        </w:rPr>
        <w:t xml:space="preserve">промислової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палати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довідка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товарної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біржи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ринкову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вартість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пропонуються</w:t>
      </w:r>
      <w:r>
        <w:rPr>
          <w:rFonts w:ascii="Times New Roman" w:hAnsi="Times New Roman" w:cs="Times New Roman"/>
          <w:sz w:val="24"/>
          <w:szCs w:val="24"/>
        </w:rPr>
        <w:t xml:space="preserve">, яка </w:t>
      </w:r>
      <w:r>
        <w:rPr>
          <w:rFonts w:ascii="Times New Roman" w:hAnsi="Times New Roman" w:cs="Times New Roman"/>
          <w:sz w:val="24"/>
          <w:szCs w:val="24"/>
        </w:rPr>
        <w:t xml:space="preserve">відповідає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ціні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одиницю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рівню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цін</w:t>
      </w:r>
      <w:r>
        <w:rPr>
          <w:rFonts w:ascii="Times New Roman" w:hAnsi="Times New Roman" w:cs="Times New Roman"/>
          <w:sz w:val="24"/>
          <w:szCs w:val="24"/>
        </w:rPr>
        <w:t xml:space="preserve">), яку заявлено в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кон’юнктуру</w:t>
      </w:r>
      <w:r>
        <w:rPr>
          <w:rFonts w:ascii="Times New Roman" w:hAnsi="Times New Roman" w:cs="Times New Roman"/>
          <w:sz w:val="24"/>
          <w:szCs w:val="24"/>
        </w:rPr>
        <w:t xml:space="preserve"> ринку товару, </w:t>
      </w:r>
      <w:r>
        <w:rPr>
          <w:rFonts w:ascii="Times New Roman" w:hAnsi="Times New Roman" w:cs="Times New Roman"/>
          <w:sz w:val="24"/>
          <w:szCs w:val="24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пропонуються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виданий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раніше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оголошення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(на планшетний комп’ютер та робочі станції).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1 250 849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двісті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сорок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5"/>
  </w:num>
  <w:num w:numId="5">
    <w:abstractNumId w:val="4"/>
  </w:num>
  <w:num w:numId="6">
    <w:abstractNumId w:val="18"/>
  </w:num>
  <w:num w:numId="7">
    <w:abstractNumId w:val="8"/>
  </w:num>
  <w:num w:numId="8">
    <w:abstractNumId w:val="20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0"/>
  </w:num>
  <w:num w:numId="18">
    <w:abstractNumId w:val="2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3"/>
    <w:lvlOverride w:ilvl="0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1"/>
    <w:next w:val="69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3"/>
    <w:link w:val="69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1"/>
    <w:next w:val="69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1"/>
    <w:next w:val="69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1"/>
    <w:next w:val="69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1"/>
    <w:next w:val="69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1"/>
    <w:next w:val="69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1"/>
    <w:next w:val="69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1"/>
    <w:next w:val="69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91"/>
    <w:next w:val="69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3"/>
    <w:link w:val="33"/>
    <w:uiPriority w:val="10"/>
    <w:rPr>
      <w:sz w:val="48"/>
      <w:szCs w:val="48"/>
    </w:rPr>
  </w:style>
  <w:style w:type="paragraph" w:styleId="35">
    <w:name w:val="Subtitle"/>
    <w:basedOn w:val="691"/>
    <w:next w:val="69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3"/>
    <w:link w:val="35"/>
    <w:uiPriority w:val="11"/>
    <w:rPr>
      <w:sz w:val="24"/>
      <w:szCs w:val="24"/>
    </w:rPr>
  </w:style>
  <w:style w:type="paragraph" w:styleId="37">
    <w:name w:val="Quote"/>
    <w:basedOn w:val="691"/>
    <w:next w:val="69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1"/>
    <w:next w:val="69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3"/>
    <w:link w:val="41"/>
    <w:uiPriority w:val="99"/>
  </w:style>
  <w:style w:type="character" w:styleId="44">
    <w:name w:val="Footer Char"/>
    <w:basedOn w:val="693"/>
    <w:link w:val="702"/>
    <w:uiPriority w:val="99"/>
  </w:style>
  <w:style w:type="paragraph" w:styleId="45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2"/>
    <w:uiPriority w:val="99"/>
  </w:style>
  <w:style w:type="table" w:styleId="48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3"/>
    <w:uiPriority w:val="99"/>
    <w:unhideWhenUsed/>
    <w:rPr>
      <w:vertAlign w:val="superscript"/>
    </w:rPr>
  </w:style>
  <w:style w:type="paragraph" w:styleId="177">
    <w:name w:val="endnote text"/>
    <w:basedOn w:val="69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3"/>
    <w:uiPriority w:val="99"/>
    <w:semiHidden/>
    <w:unhideWhenUsed/>
    <w:rPr>
      <w:vertAlign w:val="superscript"/>
    </w:rPr>
  </w:style>
  <w:style w:type="paragraph" w:styleId="180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  <w:rPr>
      <w:lang w:val="uk-UA"/>
    </w:rPr>
  </w:style>
  <w:style w:type="paragraph" w:styleId="692">
    <w:name w:val="Heading 2"/>
    <w:basedOn w:val="691"/>
    <w:link w:val="71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paragraph" w:styleId="696">
    <w:name w:val="List Paragraph"/>
    <w:basedOn w:val="691"/>
    <w:link w:val="697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7" w:customStyle="1">
    <w:name w:val="Абзац списку Знак"/>
    <w:link w:val="696"/>
    <w:uiPriority w:val="34"/>
    <w:rPr>
      <w:rFonts w:ascii="Calibri" w:hAnsi="Calibri" w:eastAsia="Calibri" w:cs="Calibri"/>
      <w:lang w:eastAsia="zh-CN"/>
    </w:rPr>
  </w:style>
  <w:style w:type="table" w:styleId="698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9" w:customStyle="1">
    <w:name w:val="Сетка таблицы2"/>
    <w:basedOn w:val="694"/>
    <w:next w:val="69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Normal (Web)"/>
    <w:basedOn w:val="691"/>
    <w:link w:val="707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01" w:customStyle="1">
    <w:name w:val="Сетка таблицы1"/>
    <w:basedOn w:val="694"/>
    <w:next w:val="69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2">
    <w:name w:val="Footer"/>
    <w:basedOn w:val="691"/>
    <w:link w:val="70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3" w:customStyle="1">
    <w:name w:val="Нижній колонтитул Знак"/>
    <w:basedOn w:val="693"/>
    <w:link w:val="702"/>
    <w:uiPriority w:val="99"/>
    <w:rPr>
      <w:rFonts w:ascii="Calibri" w:hAnsi="Calibri" w:eastAsia="Calibri" w:cs="Calibri"/>
      <w:lang w:eastAsia="zh-CN"/>
    </w:rPr>
  </w:style>
  <w:style w:type="paragraph" w:styleId="70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5">
    <w:name w:val="Hyperlink"/>
    <w:basedOn w:val="693"/>
    <w:uiPriority w:val="99"/>
    <w:unhideWhenUsed/>
    <w:rPr>
      <w:color w:val="0563c1" w:themeColor="hyperlink"/>
      <w:u w:val="single"/>
    </w:rPr>
  </w:style>
  <w:style w:type="character" w:styleId="706" w:customStyle="1">
    <w:name w:val="xfm_93972720"/>
    <w:basedOn w:val="693"/>
  </w:style>
  <w:style w:type="character" w:styleId="707" w:customStyle="1">
    <w:name w:val="Звичайний (веб) Знак"/>
    <w:link w:val="700"/>
    <w:qFormat/>
    <w:rPr>
      <w:rFonts w:ascii="Times New Roman" w:hAnsi="Times New Roman" w:cs="Times New Roman"/>
      <w:sz w:val="24"/>
      <w:szCs w:val="24"/>
      <w:lang w:val="uk-UA"/>
    </w:rPr>
  </w:style>
  <w:style w:type="paragraph" w:styleId="708">
    <w:name w:val="Body Text 2"/>
    <w:basedOn w:val="691"/>
    <w:link w:val="70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9" w:customStyle="1">
    <w:name w:val="Основний текст 2 Знак"/>
    <w:basedOn w:val="693"/>
    <w:link w:val="70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1" w:customStyle="1">
    <w:name w:val="Заголовок 2 Знак"/>
    <w:basedOn w:val="693"/>
    <w:link w:val="69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2">
    <w:name w:val="No Spacing"/>
    <w:link w:val="71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3" w:customStyle="1">
    <w:name w:val="Без інтервалів Знак"/>
    <w:basedOn w:val="693"/>
    <w:link w:val="712"/>
    <w:uiPriority w:val="1"/>
    <w:rPr>
      <w:rFonts w:ascii="Calibri" w:hAnsi="Calibri" w:eastAsia="Calibri" w:cs="Times New Roman"/>
      <w:lang w:val="uk-UA"/>
    </w:rPr>
  </w:style>
  <w:style w:type="character" w:styleId="714" w:customStyle="1">
    <w:name w:val="Другое_"/>
    <w:basedOn w:val="693"/>
    <w:link w:val="715"/>
    <w:rPr>
      <w:rFonts w:ascii="Calibri" w:hAnsi="Calibri" w:eastAsia="Calibri" w:cs="Calibri"/>
      <w:sz w:val="20"/>
      <w:szCs w:val="20"/>
    </w:rPr>
  </w:style>
  <w:style w:type="paragraph" w:styleId="715" w:customStyle="1">
    <w:name w:val="Другое"/>
    <w:basedOn w:val="691"/>
    <w:link w:val="71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7" w:customStyle="1">
    <w:name w:val="Основной текст (2)_"/>
    <w:basedOn w:val="693"/>
    <w:link w:val="718"/>
    <w:rPr>
      <w:rFonts w:eastAsia="Times New Roman" w:cs="Times New Roman"/>
      <w:shd w:val="clear" w:color="auto" w:fill="ffffff"/>
    </w:rPr>
  </w:style>
  <w:style w:type="paragraph" w:styleId="718" w:customStyle="1">
    <w:name w:val="Основной текст (2)"/>
    <w:basedOn w:val="691"/>
    <w:link w:val="71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9" w:customStyle="1">
    <w:name w:val="Текст у виносці Знак"/>
    <w:basedOn w:val="693"/>
    <w:link w:val="72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20">
    <w:name w:val="Balloon Text"/>
    <w:basedOn w:val="691"/>
    <w:link w:val="719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21" w:customStyle="1">
    <w:name w:val="Текст у виносці Знак1"/>
    <w:basedOn w:val="693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2" w:customStyle="1">
    <w:name w:val="T23"/>
    <w:rPr>
      <w:rFonts w:hint="default" w:ascii="Times New Roman" w:hAnsi="Times New Roman" w:eastAsia="Times New Roman1" w:cs="Times New Roman"/>
    </w:rPr>
  </w:style>
  <w:style w:type="paragraph" w:styleId="723" w:customStyle="1">
    <w:name w:val="Абзац списку1"/>
    <w:basedOn w:val="691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24" w:customStyle="1">
    <w:name w:val="markedcontent"/>
    <w:basedOn w:val="69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143</cp:revision>
  <dcterms:created xsi:type="dcterms:W3CDTF">2022-11-01T12:47:00Z</dcterms:created>
  <dcterms:modified xsi:type="dcterms:W3CDTF">2023-10-17T19:43:52Z</dcterms:modified>
</cp:coreProperties>
</file>