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uk-UA"/>
        </w:rPr>
      </w:pPr>
      <w:r>
        <w:rPr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Назва предм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вентиляційного обладнання за кодом CPV за ЄЗС ДК 021:2015: 42520000-7 Вентиляційне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001702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вентиляційного обладнання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82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Труба плоска 55х110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м.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82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Коліно з’єднувальне для плоских та круглих труб під вентилятор</w:t>
            </w:r>
            <w:r>
              <w:rPr>
                <w:rFonts w:eastAsia="Times New Roman"/>
                <w:b/>
                <w:bCs/>
                <w:color w:val="000000"/>
              </w:rPr>
              <w:br/>
              <w:t xml:space="preserve">55х110-100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82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Вентилятор 100≠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82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Коліно вертикальне для плоских каналів 90’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82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Решітка плоска 55х110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82"/>
              <w:jc w:val="both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Кріплення – тримач для плоских труб 55х110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2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</w:tbl>
    <w:p>
      <w:pPr>
        <w:pStyle w:val="68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8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eastAsia="Times New Roman"/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eastAsia="Times New Roman"/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682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 укладається між Сторонами і є підставою для усунення Постачальником недоліків Товару у термін, що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78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 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/>
      <w:bookmarkStart w:id="3" w:name="_Hlk142316029"/>
      <w:r>
        <w:rPr>
          <w:rFonts w:ascii="Times New Roman" w:hAnsi="Times New Roman" w:cs="Times New Roman"/>
          <w:sz w:val="24"/>
          <w:szCs w:val="24"/>
        </w:rPr>
        <w:t xml:space="preserve">7. Учаснику у складі пропозиції надати копію сертифікату відповідності та/або декларацію відповідності та/або паспорту на товар.</w:t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Відповідати  вимогам діючого природоохоронного  законодавства, та мати відповідні дозволи.</w:t>
      </w:r>
      <w:bookmarkEnd w:id="3"/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pStyle w:val="682"/>
        <w:ind w:firstLine="567"/>
        <w:jc w:val="center"/>
        <w:spacing w:after="0" w:line="240" w:lineRule="auto"/>
        <w:rPr>
          <w:rStyle w:val="704"/>
          <w:b/>
          <w:lang w:eastAsia="ru-RU"/>
        </w:rPr>
      </w:pPr>
      <w:r>
        <w:rPr>
          <w:rStyle w:val="704"/>
          <w:b/>
          <w:bCs/>
          <w:lang w:eastAsia="ru-RU"/>
        </w:rPr>
        <w:t xml:space="preserve">СПЕЦИФІКАЦІЯ</w:t>
      </w:r>
      <w:r/>
    </w:p>
    <w:tbl>
      <w:tblPr>
        <w:tblW w:w="9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77"/>
        <w:gridCol w:w="6802"/>
        <w:gridCol w:w="851"/>
      </w:tblGrid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/>
            <w:bookmarkStart w:id="4" w:name="_Hlk142316668"/>
            <w:r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Труба плоска 55х110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69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/>
          </w:p>
          <w:p>
            <w:pPr>
              <w:pStyle w:val="6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канал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прямокутний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Форма: плоский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виробу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пластик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вага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Довжина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 м Ширина: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110 мм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Висота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55 мм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Довжина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100 см Ширина: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 см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Висота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5,5 см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Товщина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1,5 мм.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4,5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Коліно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з’єднувальне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плоских 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круглих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труб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під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вентилятор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55х110-100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69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/>
          </w:p>
          <w:p>
            <w:pPr>
              <w:pStyle w:val="69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коліно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кругла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виробу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пластик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вага Ширина: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110 мм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Висота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55 мм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Довжина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13,8 см Ширина: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 см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Висота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8,7 см.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Вентилятор 100≠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69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/>
          </w:p>
          <w:p>
            <w:pPr>
              <w:pStyle w:val="69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вентилятора: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витяжний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виробу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АВС-пластик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Призначення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ванни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для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кухні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настінно-стельовий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Технічні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особливості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Продуктивність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95 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куб.м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/год Частота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обертів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2300 об./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Напруга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живлення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220 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Номінальний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струм: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0,085 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Споживана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потужність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14 Вт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Ступінь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захисту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IP34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Конструкція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осьовий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Рівень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шуму: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34 дБ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вага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Діаметр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100 мм Ширина: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15 см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Висота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15 см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Глибина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 см Вага: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0,58 кг.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Коліно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вертикальне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плоских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каналів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90’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69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/>
          </w:p>
          <w:p>
            <w:pPr>
              <w:pStyle w:val="69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коліно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плоский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виробу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пластик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вага Ширина: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110 мм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Висота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55 мм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Довжина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8,9 см Ширина: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 см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Висота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8,9 см.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Решітка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плоска 55х110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69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/>
          </w:p>
          <w:p>
            <w:pPr>
              <w:pStyle w:val="69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Розміщення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всередині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будівлі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прямокутна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виготовлення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пластик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Особливості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сітка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Монтаж: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настінний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стельовий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Призначення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припливно-витяжна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вага Ширина: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13,7 см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Висота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8,8 см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Товщина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7,3 см.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pStyle w:val="6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Кріплення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тримач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для плоских труб 55х110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69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: </w:t>
            </w:r>
            <w:r/>
          </w:p>
          <w:p>
            <w:pPr>
              <w:pStyle w:val="697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тримач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прямокутний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прямокутна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Матеріал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виробу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пластик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Температурний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діапазон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-30 до +70 °C °C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 вага Ширина: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110 мм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Висота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55 мм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Довжина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 см Ширина: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11.4 см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Висота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5.9 см.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</w:t>
            </w:r>
            <w:bookmarkEnd w:id="4"/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Законом України «Про Державний 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3 635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шістсот тридцять п’ять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3"/>
    <w:next w:val="67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75"/>
    <w:link w:val="67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3"/>
    <w:next w:val="67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3"/>
    <w:next w:val="67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3"/>
    <w:next w:val="67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3"/>
    <w:next w:val="67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3"/>
    <w:next w:val="67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3"/>
    <w:next w:val="67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3"/>
    <w:next w:val="67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73"/>
    <w:next w:val="67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5"/>
    <w:link w:val="33"/>
    <w:uiPriority w:val="10"/>
    <w:rPr>
      <w:sz w:val="48"/>
      <w:szCs w:val="48"/>
    </w:rPr>
  </w:style>
  <w:style w:type="paragraph" w:styleId="35">
    <w:name w:val="Subtitle"/>
    <w:basedOn w:val="673"/>
    <w:next w:val="67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5"/>
    <w:link w:val="35"/>
    <w:uiPriority w:val="11"/>
    <w:rPr>
      <w:sz w:val="24"/>
      <w:szCs w:val="24"/>
    </w:rPr>
  </w:style>
  <w:style w:type="paragraph" w:styleId="37">
    <w:name w:val="Quote"/>
    <w:basedOn w:val="673"/>
    <w:next w:val="67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3"/>
    <w:next w:val="67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5"/>
    <w:link w:val="705"/>
    <w:uiPriority w:val="99"/>
  </w:style>
  <w:style w:type="character" w:styleId="44">
    <w:name w:val="Footer Char"/>
    <w:basedOn w:val="675"/>
    <w:link w:val="684"/>
    <w:uiPriority w:val="99"/>
  </w:style>
  <w:style w:type="paragraph" w:styleId="45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4"/>
    <w:uiPriority w:val="99"/>
  </w:style>
  <w:style w:type="table" w:styleId="48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5"/>
    <w:uiPriority w:val="99"/>
    <w:unhideWhenUsed/>
    <w:rPr>
      <w:vertAlign w:val="superscript"/>
    </w:rPr>
  </w:style>
  <w:style w:type="paragraph" w:styleId="177">
    <w:name w:val="endnote text"/>
    <w:basedOn w:val="67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5"/>
    <w:uiPriority w:val="99"/>
    <w:semiHidden/>
    <w:unhideWhenUsed/>
    <w:rPr>
      <w:vertAlign w:val="superscript"/>
    </w:rPr>
  </w:style>
  <w:style w:type="paragraph" w:styleId="180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qFormat/>
    <w:rPr>
      <w:lang w:val="uk-UA"/>
    </w:rPr>
  </w:style>
  <w:style w:type="paragraph" w:styleId="674">
    <w:name w:val="Heading 2"/>
    <w:basedOn w:val="673"/>
    <w:link w:val="69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paragraph" w:styleId="678">
    <w:name w:val="List Paragraph"/>
    <w:basedOn w:val="673"/>
    <w:link w:val="6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9" w:customStyle="1">
    <w:name w:val="Абзац списку Знак"/>
    <w:link w:val="678"/>
    <w:uiPriority w:val="34"/>
    <w:rPr>
      <w:rFonts w:ascii="Calibri" w:hAnsi="Calibri" w:eastAsia="Calibri" w:cs="Calibri"/>
      <w:lang w:eastAsia="zh-CN"/>
    </w:rPr>
  </w:style>
  <w:style w:type="table" w:styleId="680">
    <w:name w:val="Table Grid"/>
    <w:basedOn w:val="67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1" w:customStyle="1">
    <w:name w:val="Сетка таблицы2"/>
    <w:basedOn w:val="676"/>
    <w:next w:val="68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2">
    <w:name w:val="Normal (Web)"/>
    <w:basedOn w:val="673"/>
    <w:link w:val="689"/>
    <w:unhideWhenUsed/>
    <w:qFormat/>
    <w:rPr>
      <w:rFonts w:ascii="Times New Roman" w:hAnsi="Times New Roman" w:cs="Times New Roman"/>
      <w:sz w:val="24"/>
      <w:szCs w:val="24"/>
    </w:rPr>
  </w:style>
  <w:style w:type="table" w:styleId="683" w:customStyle="1">
    <w:name w:val="Сетка таблицы1"/>
    <w:basedOn w:val="676"/>
    <w:next w:val="68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4">
    <w:name w:val="Footer"/>
    <w:basedOn w:val="673"/>
    <w:link w:val="68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5" w:customStyle="1">
    <w:name w:val="Нижній колонтитул Знак"/>
    <w:basedOn w:val="675"/>
    <w:link w:val="684"/>
    <w:uiPriority w:val="99"/>
    <w:rPr>
      <w:rFonts w:ascii="Calibri" w:hAnsi="Calibri" w:eastAsia="Calibri" w:cs="Calibri"/>
      <w:lang w:eastAsia="zh-CN"/>
    </w:rPr>
  </w:style>
  <w:style w:type="paragraph" w:styleId="68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87">
    <w:name w:val="Hyperlink"/>
    <w:basedOn w:val="675"/>
    <w:uiPriority w:val="99"/>
    <w:unhideWhenUsed/>
    <w:rPr>
      <w:color w:val="0563c1" w:themeColor="hyperlink"/>
      <w:u w:val="single"/>
    </w:rPr>
  </w:style>
  <w:style w:type="character" w:styleId="688" w:customStyle="1">
    <w:name w:val="xfm_93972720"/>
    <w:basedOn w:val="675"/>
  </w:style>
  <w:style w:type="character" w:styleId="689" w:customStyle="1">
    <w:name w:val="Звичайний (веб) Знак"/>
    <w:link w:val="682"/>
    <w:qFormat/>
    <w:rPr>
      <w:rFonts w:ascii="Times New Roman" w:hAnsi="Times New Roman" w:cs="Times New Roman"/>
      <w:sz w:val="24"/>
      <w:szCs w:val="24"/>
      <w:lang w:val="uk-UA"/>
    </w:rPr>
  </w:style>
  <w:style w:type="paragraph" w:styleId="690">
    <w:name w:val="Body Text 2"/>
    <w:basedOn w:val="673"/>
    <w:link w:val="69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1" w:customStyle="1">
    <w:name w:val="Основний текст 2 Знак"/>
    <w:basedOn w:val="675"/>
    <w:link w:val="69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3" w:customStyle="1">
    <w:name w:val="Заголовок 2 Знак"/>
    <w:basedOn w:val="675"/>
    <w:link w:val="67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4">
    <w:name w:val="No Spacing"/>
    <w:link w:val="69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5" w:customStyle="1">
    <w:name w:val="Без інтервалів Знак"/>
    <w:basedOn w:val="675"/>
    <w:link w:val="694"/>
    <w:uiPriority w:val="1"/>
    <w:rPr>
      <w:rFonts w:ascii="Calibri" w:hAnsi="Calibri" w:eastAsia="Calibri" w:cs="Times New Roman"/>
      <w:lang w:val="uk-UA"/>
    </w:rPr>
  </w:style>
  <w:style w:type="character" w:styleId="696" w:customStyle="1">
    <w:name w:val="Другое_"/>
    <w:basedOn w:val="675"/>
    <w:link w:val="697"/>
    <w:rPr>
      <w:rFonts w:ascii="Calibri" w:hAnsi="Calibri" w:eastAsia="Calibri" w:cs="Calibri"/>
      <w:sz w:val="20"/>
      <w:szCs w:val="20"/>
    </w:rPr>
  </w:style>
  <w:style w:type="paragraph" w:styleId="697" w:customStyle="1">
    <w:name w:val="Другое"/>
    <w:basedOn w:val="673"/>
    <w:link w:val="69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69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699" w:customStyle="1">
    <w:name w:val="Основной текст (2)_"/>
    <w:basedOn w:val="675"/>
    <w:link w:val="700"/>
    <w:rPr>
      <w:rFonts w:eastAsia="Times New Roman" w:cs="Times New Roman"/>
      <w:shd w:val="clear" w:color="auto" w:fill="ffffff"/>
    </w:rPr>
  </w:style>
  <w:style w:type="paragraph" w:styleId="700" w:customStyle="1">
    <w:name w:val="Основной текст (2)"/>
    <w:basedOn w:val="673"/>
    <w:link w:val="69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01" w:customStyle="1">
    <w:name w:val="Текст у виносці Знак"/>
    <w:basedOn w:val="675"/>
    <w:link w:val="70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02">
    <w:name w:val="Balloon Text"/>
    <w:basedOn w:val="673"/>
    <w:link w:val="70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03" w:customStyle="1">
    <w:name w:val="Текст у виносці Знак1"/>
    <w:basedOn w:val="67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04" w:customStyle="1">
    <w:name w:val="T23"/>
    <w:rPr>
      <w:rFonts w:hint="default" w:ascii="Times New Roman" w:hAnsi="Times New Roman" w:eastAsia="Times New Roman1" w:cs="Times New Roman"/>
    </w:rPr>
  </w:style>
  <w:style w:type="paragraph" w:styleId="705">
    <w:name w:val="Header"/>
    <w:basedOn w:val="673"/>
    <w:link w:val="706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706" w:customStyle="1">
    <w:name w:val="Верхній колонтитул Знак"/>
    <w:basedOn w:val="675"/>
    <w:link w:val="705"/>
    <w:uiPriority w:val="99"/>
    <w:rPr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2023-08-18T08:21:42Z</dcterms:modified>
</cp:coreProperties>
</file>