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дизельного палива в талонах за кодом CPV за ЄЗС ДК 021:2015: 09130000-9 Нафта і дистиляти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001836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дизельного палива в талонах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rPr>
          <w:b/>
          <w:color w:val="000000"/>
        </w:rPr>
      </w:pPr>
      <w:r>
        <w:rPr>
          <w:b/>
          <w:color w:val="000000"/>
        </w:rPr>
      </w:r>
      <w:r/>
    </w:p>
    <w:tbl>
      <w:tblPr>
        <w:tblStyle w:val="692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Дизельне паливо в талонах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1500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94"/>
            </w:pPr>
            <w:r>
              <w:t xml:space="preserve">л</w:t>
            </w:r>
            <w:r/>
          </w:p>
        </w:tc>
      </w:tr>
    </w:tbl>
    <w:p>
      <w:pPr>
        <w:pStyle w:val="694"/>
        <w:jc w:val="both"/>
        <w:spacing w:after="0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94"/>
        <w:jc w:val="both"/>
        <w:spacing w:after="0"/>
        <w:rPr>
          <w:b/>
          <w:bCs/>
          <w:i/>
          <w:iCs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tbl>
      <w:tblPr>
        <w:tblW w:w="966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410"/>
        <w:gridCol w:w="1134"/>
        <w:gridCol w:w="1417"/>
        <w:gridCol w:w="4394"/>
      </w:tblGrid>
      <w:tr>
        <w:trPr>
          <w:trHeight w:val="716"/>
        </w:trPr>
        <w:tc>
          <w:tcPr>
            <w:tcW w:w="31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Відповідність ДСТУ</w:t>
            </w:r>
            <w:r/>
          </w:p>
        </w:tc>
      </w:tr>
      <w:tr>
        <w:trPr>
          <w:trHeight w:val="480"/>
        </w:trPr>
        <w:tc>
          <w:tcPr>
            <w:tcW w:w="313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Дизельне паливо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</w:t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1500</w:t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ДСТУ 3868-99 та/або ДСТУ 4840:2007 та/або ДСТУ 7688:2015</w:t>
            </w:r>
            <w:r/>
          </w:p>
        </w:tc>
      </w:tr>
      <w:tr>
        <w:trPr>
          <w:trHeight w:val="102"/>
        </w:trPr>
        <w:tc>
          <w:tcPr>
            <w:gridSpan w:val="5"/>
            <w:tcW w:w="9668" w:type="dxa"/>
            <w:vAlign w:val="center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Талони номіналом 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Технічні та якісні характеристи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ки товару повинні відповідати вимогам діючого законодавства України, у тому числі 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Технічні та якісні вимоги до Товару повинні відповідати Технічному регламенту щодо вимог до автомобільних бензинів, суднових та котельних палив, затвердженого ПКМУ від 01.08.2013 року № 927.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Дизельне паливо повинно відповідати температурному режиму експлуатації транспортних засобів в регіонах України. В зимовий період дизельне паливо повинне відповідати температурному режиму і бути не менше -35°C.  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Відпуск Товару Замовнику здійснюється цілодобово по довірчим документам (талонам/паливним карткам) на АЗС Постачальника в м. Києві, Київській області та в кожній області України за виключенням окупованих територій.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Талони/паливні картки - повинні бути універсальні пластикові або картонні (паперові) картки з вбудованим в неї 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мікрочіпом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або системою цифрового захисту, що дозволяє здійснити ідентифікацію Покупця та провести заправку транспортного засобу нафтопродуктами певного виду палива.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Учасник повинен надати: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1. Гарантійний лист щодо надання копій сертифікату (паспорту) якості, копія декларації про відповідність або інший документ, який підтверджує якість Товару, що буде поставлятись Учасником. 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2. Довідку (в довільній формі) про дійсність довірчих документів (талонів/паливних карток) на території м. Києві, Київській області та обов’язкова наявність АЗС в кожній області України за виключенням окупованих територій.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3. У разі наявності партнерських АЗС, Учасник процедури закупівлі повинен надати в складі пропозиції документальне підтвердження права користування автозаправними станціями інших власників: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- 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копії Договорів з операторами (ліцензіатами)  партнерських АЗС, орендованих АЗС, які повинні бути чинними впродовж строку поставки предмета закупівлі, та/або копія документу, який підтверджує діяльність операторів АЗС  відповідно до чинного законодавства. 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 - гарантійний лист від власника/орендаря/оператора(ліцензіата) партнерських АЗС, орендованих АЗС, адресований Учаснику, про гарантування заправок автотранспорту за довірчими документами (талонами/паливними картками) встановленого зразка на АЗС.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4. Лист - підтверд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ження (в довільній формі) від Учасника щодо знаходження не менше однієї власної або партнерської АЗС від місця розташування Замовника від вул. Молодогвардійська 28  на відстані не більше 3 км з обов’язковим зазначенням адреси розташування перелічених АЗС. 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5.  Довідку (у довільній формі), якою Учасник гарантує, що Това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р є таким, що не має негативного впливу на навколишнє довкілля та передбачає застосування необхідних заходів із захисту довкілля, тобто учасник гарантує, що технічні, якісні характеристики предмета закупівлі відповідають встановленим законодавством нормам.</w:t>
      </w:r>
      <w:r/>
    </w:p>
    <w:p>
      <w:pPr>
        <w:pStyle w:val="717"/>
        <w:ind w:firstLine="709"/>
        <w:jc w:val="both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6. Чинний дозвіл або ліцензія на провадження відповідної господарської діяльності, або довідку в довільній формі із підтвердженням наявності в учасник</w:t>
      </w:r>
      <w:r>
        <w:rPr>
          <w:rFonts w:ascii="Times New Roman" w:hAnsi="Times New Roman" w:cs="Times New Roman"/>
          <w:color w:val="auto"/>
          <w:sz w:val="24"/>
          <w:szCs w:val="24"/>
          <w:lang w:val="uk-UA" w:eastAsia="uk-UA"/>
        </w:rPr>
        <w:t xml:space="preserve">а відповідної ліцензії з посиланням на відкритий реєстр який містить таку інформацію, якщо отримання такого дозволу або ліцензії на провадження такого виду діяльності передбачено законодавством. Якщо не передбачено, надати довідку про це в довільній формі.</w:t>
      </w:r>
      <w:r/>
    </w:p>
    <w:p>
      <w:pPr>
        <w:pStyle w:val="690"/>
        <w:ind w:lef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7. У складі пропозиції надає копію оригіналу документу (с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ертифікат тощо), який підтверджує впровадження системи управління якістю в Учасника, як суб’єкта господарювання – юридичної особи стосовно торгівлі (оптової чи роздрібної) пальним (паливом), виданий акредитованим уповноваженим органом у сфері сертифікації.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74 985,00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сімдесят чотири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дев’ятсот вісімдесят п’ять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до середніх цін за провідними операторами станом на 17.07.2023 року, виставленими на сайті Міністерства фінансів України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"/>
  </w:num>
  <w:num w:numId="18">
    <w:abstractNumId w:val="1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34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  <w:style w:type="paragraph" w:styleId="717" w:customStyle="1">
    <w:name w:val="Обычный1"/>
    <w:pPr>
      <w:spacing w:after="0" w:line="276" w:lineRule="auto"/>
    </w:pPr>
    <w:rPr>
      <w:rFonts w:ascii="Arial" w:hAnsi="Arial" w:eastAsia="Times New Roman" w:cs="Arial"/>
      <w:color w:val="00000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136</cp:revision>
  <dcterms:created xsi:type="dcterms:W3CDTF">2022-11-01T12:47:00Z</dcterms:created>
  <dcterms:modified xsi:type="dcterms:W3CDTF">2023-07-27T07:26:57Z</dcterms:modified>
</cp:coreProperties>
</file>