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w:t>
      </w:r>
      <w:r>
        <w:rPr>
          <w:b w:val="0"/>
          <w:bCs w:val="0"/>
          <w:color w:val="000000"/>
          <w:sz w:val="24"/>
          <w:szCs w:val="24"/>
        </w:rPr>
        <w:t xml:space="preserve">води питної </w:t>
      </w:r>
      <w:r>
        <w:rPr>
          <w:b w:val="0"/>
          <w:bCs w:val="0"/>
          <w:color w:val="000000"/>
          <w:sz w:val="24"/>
          <w:szCs w:val="24"/>
        </w:rPr>
        <w:t xml:space="preserve">бутильованої</w:t>
      </w:r>
      <w:r>
        <w:rPr>
          <w:b w:val="0"/>
          <w:bCs w:val="0"/>
          <w:color w:val="000000"/>
          <w:sz w:val="24"/>
          <w:szCs w:val="24"/>
        </w:rPr>
        <w:t xml:space="preserve"> за кодом CPV за ДК 021:2015: 41110000-3  Питна вода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22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4914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w:t>
      </w:r>
      <w:r>
        <w:rPr>
          <w:rFonts w:ascii="Times New Roman" w:hAnsi="Times New Roman" w:cs="Times New Roman"/>
          <w:color w:val="000000"/>
          <w:sz w:val="24"/>
          <w:szCs w:val="24"/>
        </w:rPr>
        <w:t xml:space="preserve">води питної </w:t>
      </w:r>
      <w:r>
        <w:rPr>
          <w:rFonts w:ascii="Times New Roman" w:hAnsi="Times New Roman" w:cs="Times New Roman"/>
          <w:color w:val="000000"/>
          <w:sz w:val="24"/>
          <w:szCs w:val="24"/>
        </w:rPr>
        <w:t xml:space="preserve">бутильованої</w:t>
      </w:r>
      <w:r>
        <w:rPr>
          <w:rFonts w:ascii="Times New Roman" w:hAnsi="Times New Roman" w:cs="Times New Roman"/>
          <w:color w:val="000000"/>
          <w:sz w:val="24"/>
          <w:szCs w:val="24"/>
        </w:rPr>
        <w:t xml:space="preserve"> за кодом CPV за ДК 021:2015: 41110000-3  Питна вода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bookmarkEnd w:id="0"/>
      <w:r/>
    </w:p>
    <w:p>
      <w:pPr>
        <w:ind w:firstLine="357"/>
        <w:jc w:val="center"/>
        <w:rPr>
          <w:b/>
          <w:color w:val="000000"/>
        </w:rPr>
      </w:pPr>
      <w:r>
        <w:rPr>
          <w:b/>
          <w:color w:val="000000"/>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товару</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pPr>
            <w:r>
              <w:rPr>
                <w:rFonts w:eastAsia="Calibri"/>
                <w:b/>
                <w:bCs/>
              </w:rPr>
              <w:t xml:space="preserve">1</w:t>
            </w:r>
            <w:r/>
          </w:p>
        </w:tc>
        <w:tc>
          <w:tcPr>
            <w:tcW w:w="5670" w:type="dxa"/>
            <w:textDirection w:val="lrTb"/>
            <w:noWrap w:val="false"/>
          </w:tcPr>
          <w:p>
            <w:pPr>
              <w:pStyle w:val="753"/>
              <w:spacing w:after="160"/>
              <w:rPr>
                <w:rFonts w:ascii="Times New Roman" w:hAnsi="Times New Roman" w:cs="Times New Roman"/>
                <w:b/>
                <w:bCs/>
                <w:sz w:val="24"/>
                <w:szCs w:val="24"/>
              </w:rPr>
            </w:pPr>
            <w:r>
              <w:rPr>
                <w:rFonts w:ascii="Times New Roman" w:hAnsi="Times New Roman" w:cs="Times New Roman"/>
                <w:b/>
                <w:bCs/>
                <w:sz w:val="24"/>
                <w:szCs w:val="24"/>
                <w:lang w:eastAsia="uk-UA"/>
              </w:rPr>
              <w:t xml:space="preserve">Вода </w:t>
            </w:r>
            <w:r>
              <w:rPr>
                <w:rFonts w:ascii="Times New Roman" w:hAnsi="Times New Roman" w:cs="Times New Roman"/>
                <w:b/>
                <w:bCs/>
                <w:sz w:val="24"/>
                <w:szCs w:val="24"/>
                <w:lang w:eastAsia="uk-UA"/>
              </w:rPr>
              <w:t xml:space="preserve">питна</w:t>
            </w:r>
            <w:r>
              <w:rPr>
                <w:rFonts w:ascii="Times New Roman" w:hAnsi="Times New Roman" w:cs="Times New Roman"/>
                <w:b/>
                <w:bCs/>
                <w:sz w:val="24"/>
                <w:szCs w:val="24"/>
                <w:lang w:eastAsia="uk-UA"/>
              </w:rPr>
              <w:t xml:space="preserve"> (1 </w:t>
            </w:r>
            <w:r>
              <w:rPr>
                <w:rFonts w:ascii="Times New Roman" w:hAnsi="Times New Roman" w:cs="Times New Roman"/>
                <w:b/>
                <w:bCs/>
                <w:sz w:val="24"/>
                <w:szCs w:val="24"/>
                <w:lang w:eastAsia="uk-UA"/>
              </w:rPr>
              <w:t xml:space="preserve">бутиль</w:t>
            </w:r>
            <w:r>
              <w:rPr>
                <w:rFonts w:ascii="Times New Roman" w:hAnsi="Times New Roman" w:cs="Times New Roman"/>
                <w:b/>
                <w:bCs/>
                <w:sz w:val="24"/>
                <w:szCs w:val="24"/>
                <w:lang w:eastAsia="uk-UA"/>
              </w:rPr>
              <w:t xml:space="preserve"> 18,9 л)</w:t>
            </w:r>
            <w:r/>
          </w:p>
        </w:tc>
        <w:tc>
          <w:tcPr>
            <w:tcW w:w="1701" w:type="dxa"/>
            <w:vAlign w:val="center"/>
            <w:textDirection w:val="lrTb"/>
            <w:noWrap w:val="false"/>
          </w:tcPr>
          <w:p>
            <w:pPr>
              <w:pStyle w:val="738"/>
              <w:jc w:val="center"/>
            </w:pPr>
            <w:r>
              <w:rPr>
                <w:rFonts w:eastAsia="Calibri"/>
              </w:rPr>
              <w:t xml:space="preserve">шт.</w:t>
            </w:r>
            <w:r/>
          </w:p>
        </w:tc>
        <w:tc>
          <w:tcPr>
            <w:tcW w:w="1701" w:type="dxa"/>
            <w:vAlign w:val="center"/>
            <w:textDirection w:val="lrTb"/>
            <w:noWrap w:val="false"/>
          </w:tcPr>
          <w:p>
            <w:pPr>
              <w:pStyle w:val="738"/>
              <w:jc w:val="center"/>
              <w:rPr>
                <w:b/>
                <w:bCs/>
              </w:rPr>
            </w:pPr>
            <w:r>
              <w:rPr>
                <w:rFonts w:eastAsia="Calibri"/>
                <w:b/>
              </w:rPr>
              <w:t xml:space="preserve">720</w:t>
            </w:r>
            <w:r/>
          </w:p>
        </w:tc>
      </w:tr>
    </w:tbl>
    <w:p>
      <w:pPr>
        <w:pStyle w:val="738"/>
        <w:jc w:val="both"/>
        <w:spacing w:line="240" w:lineRule="auto"/>
        <w:rPr>
          <w:b/>
          <w:bCs/>
          <w:i/>
          <w:iCs/>
          <w:lang w:eastAsia="ru-RU"/>
        </w:rPr>
      </w:pPr>
      <w:r>
        <w:rPr>
          <w:b/>
          <w:bCs/>
          <w:i/>
          <w:iCs/>
          <w:lang w:eastAsia="ru-RU"/>
        </w:rPr>
      </w:r>
      <w:r/>
    </w:p>
    <w:p>
      <w:pPr>
        <w:pStyle w:val="738"/>
        <w:ind w:firstLine="567"/>
        <w:jc w:val="both"/>
        <w:spacing w:line="240" w:lineRule="auto"/>
      </w:pPr>
      <w:r/>
      <w:bookmarkStart w:id="1" w:name="_Hlk175217168"/>
      <w:r>
        <w:rPr>
          <w:lang w:eastAsia="ar-SA"/>
        </w:rPr>
        <w:t xml:space="preserve">Питна вода повинна </w:t>
      </w:r>
      <w:r>
        <w:t xml:space="preserve">відповідати вимогам державних стандартів, Закону України від 10.01.2002 «2918-ІІІ «Про питну воду та питне водопостачання» та Державним Санітарним Правилам і нормам встановленим медичним критеріям безпеки / показникам: </w:t>
      </w:r>
      <w:r>
        <w:t xml:space="preserve">ДСанПіН</w:t>
      </w:r>
      <w:r>
        <w:t xml:space="preserve"> 2.2.4-171-10 «Гігієнічні вимоги до води питної, призначеної для споживання людиною».</w:t>
      </w:r>
      <w:bookmarkEnd w:id="1"/>
      <w:r/>
    </w:p>
    <w:p>
      <w:pPr>
        <w:pStyle w:val="738"/>
        <w:ind w:firstLine="567"/>
        <w:jc w:val="both"/>
        <w:spacing w:line="240" w:lineRule="auto"/>
        <w:rPr>
          <w:lang w:eastAsia="ru-RU"/>
        </w:rPr>
      </w:pPr>
      <w:r>
        <w:rPr>
          <w:lang w:eastAsia="ru-RU"/>
        </w:rPr>
      </w:r>
      <w:r/>
    </w:p>
    <w:p>
      <w:pPr>
        <w:pStyle w:val="738"/>
        <w:ind w:firstLine="567"/>
        <w:jc w:val="both"/>
        <w:spacing w:line="240" w:lineRule="auto"/>
        <w:rPr>
          <w:lang w:eastAsia="ru-RU"/>
        </w:rPr>
      </w:pPr>
      <w:r>
        <w:rPr>
          <w:lang w:eastAsia="ru-RU"/>
        </w:rPr>
        <w:t xml:space="preserve">Постачання товару здійснюватиметься в м. Дніпро (адреса конкретна буде надана Учаснику-переможцю). Товар поставляється партіями за заявкою Замовника. (партія не менше 20 </w:t>
      </w:r>
      <w:r>
        <w:rPr>
          <w:lang w:eastAsia="ru-RU"/>
        </w:rPr>
        <w:t xml:space="preserve">шт</w:t>
      </w:r>
      <w:r>
        <w:rPr>
          <w:lang w:eastAsia="ru-RU"/>
        </w:rPr>
        <w:t xml:space="preserve">).</w:t>
      </w:r>
      <w:r/>
    </w:p>
    <w:p>
      <w:pPr>
        <w:pStyle w:val="738"/>
        <w:jc w:val="both"/>
        <w:spacing w:line="240" w:lineRule="auto"/>
        <w:rPr>
          <w:b/>
          <w:bCs/>
          <w:i/>
          <w:iCs/>
          <w:lang w:eastAsia="ru-RU"/>
        </w:rPr>
      </w:pPr>
      <w:r>
        <w:rPr>
          <w:b/>
          <w:bCs/>
          <w:i/>
          <w:iCs/>
          <w:lang w:eastAsia="ru-RU"/>
        </w:rPr>
      </w:r>
      <w:r/>
    </w:p>
    <w:p>
      <w:pPr>
        <w:pStyle w:val="738"/>
        <w:jc w:val="both"/>
        <w:spacing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w:t>
      </w:r>
      <w:r/>
    </w:p>
    <w:p>
      <w:pPr>
        <w:spacing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line="240" w:lineRule="auto"/>
        <w:rPr>
          <w:rFonts w:ascii="Times New Roman" w:hAnsi="Times New Roman" w:cs="Times New Roman"/>
          <w:sz w:val="24"/>
          <w:szCs w:val="24"/>
          <w:lang w:eastAsia="uk-UA"/>
        </w:rPr>
      </w:pPr>
      <w:r/>
      <w:bookmarkStart w:id="2" w:name="_Hlk175217186"/>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w:t>
      </w:r>
      <w:r>
        <w:rPr>
          <w:rFonts w:ascii="Times New Roman" w:hAnsi="Times New Roman" w:cs="Times New Roman"/>
          <w:sz w:val="24"/>
          <w:szCs w:val="24"/>
          <w:lang w:eastAsia="uk-UA"/>
        </w:rPr>
        <w:t xml:space="preserve">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firstLine="567"/>
        <w:jc w:val="both"/>
        <w:spacing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ind w:firstLine="567"/>
        <w:jc w:val="both"/>
        <w:spacing w:line="240" w:lineRule="auto"/>
        <w:rPr>
          <w:rFonts w:ascii="Times New Roman" w:hAnsi="Times New Roman" w:cs="Times New Roman"/>
          <w:b/>
          <w:bCs/>
          <w:sz w:val="24"/>
          <w:szCs w:val="24"/>
        </w:rPr>
      </w:pPr>
      <w:r>
        <w:rPr>
          <w:rFonts w:ascii="Times New Roman" w:hAnsi="Times New Roman" w:cs="Times New Roman"/>
          <w:b/>
          <w:bCs/>
          <w:sz w:val="24"/>
          <w:szCs w:val="24"/>
        </w:rPr>
      </w:r>
      <w:r/>
    </w:p>
    <w:p>
      <w:pPr>
        <w:ind w:firstLine="567"/>
        <w:jc w:val="bot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Таблиця відповідності</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2"/>
        <w:gridCol w:w="2928"/>
        <w:gridCol w:w="3155"/>
        <w:gridCol w:w="2936"/>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ind w:firstLine="567"/>
              <w:jc w:val="both"/>
              <w:spacing w:line="240" w:lineRule="auto"/>
              <w:rPr>
                <w:rFonts w:ascii="Times New Roman" w:hAnsi="Times New Roman" w:cs="Times New Roman"/>
                <w:sz w:val="24"/>
                <w:szCs w:val="24"/>
              </w:rPr>
            </w:pPr>
            <w:r>
              <w:rPr>
                <w:rFonts w:ascii="Times New Roman" w:hAnsi="Times New Roman" w:cs="Times New Roman"/>
                <w:bCs/>
                <w:sz w:val="24"/>
                <w:szCs w:val="24"/>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ind w:firstLine="567"/>
              <w:jc w:val="both"/>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ind w:firstLine="567"/>
              <w:jc w:val="both"/>
              <w:spacing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ind w:firstLine="567"/>
              <w:jc w:val="both"/>
              <w:spacing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пропонуються Учасником</w:t>
            </w:r>
            <w:r/>
          </w:p>
        </w:tc>
      </w:tr>
    </w:tbl>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У разі надання гарантійного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Гарантійні листи повинні бути адресовані Замовнику із обов’язковим зазначенням найменування та номеру закупівлі.</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567"/>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СПЕЦИФІКАЦІЯ: </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r>
      <w:r/>
    </w:p>
    <w:tbl>
      <w:tblPr>
        <w:tblW w:w="94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421"/>
        <w:gridCol w:w="1984"/>
        <w:gridCol w:w="1134"/>
        <w:gridCol w:w="5954"/>
      </w:tblGrid>
      <w:tr>
        <w:trPr>
          <w:jc w:val="center"/>
        </w:trPr>
        <w:tc>
          <w:tcPr>
            <w:tcW w:w="421" w:type="dxa"/>
            <w:textDirection w:val="lrTb"/>
            <w:noWrap w:val="false"/>
          </w:tcPr>
          <w:p>
            <w:pPr>
              <w:jc w:val="cente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w:t>
            </w:r>
            <w:r/>
          </w:p>
        </w:tc>
        <w:tc>
          <w:tcPr>
            <w:tcW w:w="1984" w:type="dxa"/>
            <w:textDirection w:val="lrTb"/>
            <w:noWrap w:val="false"/>
          </w:tcPr>
          <w:p>
            <w:pPr>
              <w:jc w:val="cente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Найменування товару</w:t>
            </w:r>
            <w:r/>
          </w:p>
        </w:tc>
        <w:tc>
          <w:tcPr>
            <w:tcW w:w="1134" w:type="dxa"/>
            <w:textDirection w:val="lrTb"/>
            <w:noWrap w:val="false"/>
          </w:tcPr>
          <w:p>
            <w:pPr>
              <w:jc w:val="cente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Од. </w:t>
            </w:r>
            <w:r>
              <w:rPr>
                <w:rFonts w:ascii="Times New Roman" w:hAnsi="Times New Roman" w:cs="Times New Roman"/>
                <w:sz w:val="24"/>
                <w:szCs w:val="24"/>
              </w:rPr>
              <w:t xml:space="preserve">вим</w:t>
            </w:r>
            <w:r>
              <w:rPr>
                <w:rFonts w:ascii="Times New Roman" w:hAnsi="Times New Roman" w:cs="Times New Roman"/>
                <w:sz w:val="24"/>
                <w:szCs w:val="24"/>
              </w:rPr>
              <w:t xml:space="preserve">.</w:t>
            </w:r>
            <w:r/>
          </w:p>
        </w:tc>
        <w:tc>
          <w:tcPr>
            <w:tcW w:w="5954" w:type="dxa"/>
            <w:vAlign w:val="center"/>
            <w:textDirection w:val="lrTb"/>
            <w:noWrap w:val="false"/>
          </w:tcPr>
          <w:p>
            <w:pPr>
              <w:jc w:val="cente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Технічні (якісні) вимоги до товару, послуг</w:t>
            </w:r>
            <w:r/>
          </w:p>
        </w:tc>
      </w:tr>
      <w:tr>
        <w:trPr>
          <w:jc w:val="center"/>
          <w:trHeight w:val="1330"/>
        </w:trPr>
        <w:tc>
          <w:tcPr>
            <w:tcW w:w="421" w:type="dxa"/>
            <w:vAlign w:val="center"/>
            <w:textDirection w:val="lrTb"/>
            <w:noWrap w:val="false"/>
          </w:tcPr>
          <w:p>
            <w:pPr>
              <w:spacing w:line="240" w:lineRule="auto"/>
              <w:tabs>
                <w:tab w:val="left" w:pos="180" w:leader="none"/>
                <w:tab w:val="right" w:pos="8306" w:leader="none"/>
              </w:tabs>
              <w:rPr>
                <w:rFonts w:ascii="Times New Roman" w:hAnsi="Times New Roman" w:cs="Times New Roman"/>
                <w:sz w:val="24"/>
                <w:szCs w:val="24"/>
                <w:lang w:val="en-US"/>
              </w:rPr>
            </w:pPr>
            <w:r>
              <w:rPr>
                <w:rFonts w:ascii="Times New Roman" w:hAnsi="Times New Roman" w:cs="Times New Roman"/>
                <w:sz w:val="24"/>
                <w:szCs w:val="24"/>
              </w:rPr>
              <w:t xml:space="preserve">1</w:t>
            </w:r>
            <w:r/>
          </w:p>
        </w:tc>
        <w:tc>
          <w:tcPr>
            <w:shd w:val="clear" w:color="auto" w:fill="auto"/>
            <w:tcW w:w="1984" w:type="dxa"/>
            <w:vAlign w:val="center"/>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Вода питна </w:t>
            </w:r>
            <w:r/>
          </w:p>
        </w:tc>
        <w:tc>
          <w:tcPr>
            <w:tcW w:w="1134" w:type="dxa"/>
            <w:vAlign w:val="center"/>
            <w:textDirection w:val="lrTb"/>
            <w:noWrap w:val="false"/>
          </w:tcPr>
          <w:p>
            <w:pPr>
              <w:jc w:val="cente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Бутель 18,9л</w:t>
            </w:r>
            <w:r/>
          </w:p>
        </w:tc>
        <w:tc>
          <w:tcPr>
            <w:tcW w:w="5954" w:type="dxa"/>
            <w:vAlign w:val="center"/>
            <w:textDirection w:val="lrTb"/>
            <w:noWrap w:val="false"/>
          </w:tcPr>
          <w:p>
            <w:pPr>
              <w:ind w:left="28" w:firstLine="156"/>
              <w:spacing w:line="240" w:lineRule="auto"/>
              <w:tabs>
                <w:tab w:val="left" w:pos="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Вода питна негазована прозора, без сторонніх включень, запаху, смаку, поверхневої плівки і осаду, збалансованим хімічним складом, низьким ступенем жорсткості.</w:t>
            </w:r>
            <w:r/>
          </w:p>
          <w:p>
            <w:pPr>
              <w:ind w:left="28" w:firstLine="156"/>
              <w:spacing w:line="240" w:lineRule="auto"/>
              <w:tabs>
                <w:tab w:val="left" w:pos="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Органолептичні показники, фізико-хімічні показники, санітарно-токсикологічні показники, показники неорганічних компонентів, мікробіологічні показники питної води повинні відповідати нормам </w:t>
            </w:r>
            <w:r>
              <w:rPr>
                <w:rFonts w:ascii="Times New Roman" w:hAnsi="Times New Roman" w:cs="Times New Roman"/>
                <w:sz w:val="24"/>
                <w:szCs w:val="24"/>
              </w:rPr>
              <w:t xml:space="preserve">ДСанПіН</w:t>
            </w:r>
            <w:r>
              <w:rPr>
                <w:rFonts w:ascii="Times New Roman" w:hAnsi="Times New Roman" w:cs="Times New Roman"/>
                <w:sz w:val="24"/>
                <w:szCs w:val="24"/>
              </w:rPr>
              <w:t xml:space="preserve"> 2.2.4-171-10 «Гігієнічні вимоги до води питної, призначеної для споживання людиною».</w:t>
            </w:r>
            <w:r/>
          </w:p>
          <w:p>
            <w:pPr>
              <w:ind w:left="28" w:firstLine="297"/>
              <w:spacing w:line="240" w:lineRule="auto"/>
              <w:tabs>
                <w:tab w:val="left" w:pos="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Фактичні значення показників фізіологічної повноцінності мінерального складу питної води:</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загальна жорсткість – 1,5-7,0 ммоль/</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загальна лужність – 0,5-6,5 ммоль/</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кальцій 25-75 мг/</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магній 10-50 мг/</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натрій 2-20 мг/</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сухий залишок 200-500 мг/</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фториди 0,7-1,2 мг/</w:t>
            </w:r>
            <w:r>
              <w:rPr>
                <w:rFonts w:ascii="Times New Roman" w:hAnsi="Times New Roman" w:cs="Times New Roman"/>
                <w:color w:val="040c28"/>
                <w:sz w:val="24"/>
                <w:szCs w:val="24"/>
              </w:rPr>
              <w:t xml:space="preserve">дм</w:t>
            </w:r>
            <w:r>
              <w:rPr>
                <w:rFonts w:ascii="Times New Roman" w:hAnsi="Times New Roman" w:cs="Times New Roman"/>
                <w:color w:val="040c28"/>
                <w:sz w:val="24"/>
                <w:szCs w:val="24"/>
                <w:vertAlign w:val="superscript"/>
              </w:rPr>
              <w:t xml:space="preserve">3</w:t>
            </w:r>
            <w:r>
              <w:rPr>
                <w:rFonts w:ascii="Times New Roman" w:hAnsi="Times New Roman" w:cs="Times New Roman"/>
                <w:sz w:val="24"/>
                <w:szCs w:val="24"/>
              </w:rPr>
              <w:t xml:space="preserve">;</w:t>
            </w:r>
            <w:r/>
          </w:p>
          <w:p>
            <w:pPr>
              <w:ind w:left="173" w:hanging="173"/>
              <w:spacing w:line="240" w:lineRule="auto"/>
              <w:tabs>
                <w:tab w:val="left" w:pos="18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 строк придатності – 3-6 місяців.</w:t>
            </w:r>
            <w:r/>
          </w:p>
          <w:p>
            <w:pPr>
              <w:ind w:firstLine="325"/>
              <w:spacing w:line="240" w:lineRule="auto"/>
              <w:tabs>
                <w:tab w:val="left" w:pos="0" w:leader="none"/>
                <w:tab w:val="right" w:pos="8306" w:leader="none"/>
              </w:tabs>
              <w:rPr>
                <w:rFonts w:ascii="Times New Roman" w:hAnsi="Times New Roman" w:cs="Times New Roman"/>
                <w:sz w:val="24"/>
                <w:szCs w:val="24"/>
              </w:rPr>
            </w:pPr>
            <w:r>
              <w:rPr>
                <w:rFonts w:ascii="Times New Roman" w:hAnsi="Times New Roman" w:cs="Times New Roman"/>
                <w:sz w:val="24"/>
                <w:szCs w:val="24"/>
              </w:rPr>
              <w:t xml:space="preserve">Радіаційна безпечність води повинна контролюватися в місці водозабору один раз в три роки, при цьому визначаються часткові сумарні альфа- і бета-активності: сумарна альфа-активність </w:t>
            </w:r>
            <w:r>
              <w:rPr>
                <w:rFonts w:ascii="Times New Roman" w:hAnsi="Times New Roman" w:cs="Times New Roman"/>
                <w:sz w:val="24"/>
                <w:szCs w:val="24"/>
              </w:rPr>
              <w:t xml:space="preserve">Бк</w:t>
            </w:r>
            <w:r>
              <w:rPr>
                <w:rFonts w:ascii="Times New Roman" w:hAnsi="Times New Roman" w:cs="Times New Roman"/>
                <w:sz w:val="24"/>
                <w:szCs w:val="24"/>
              </w:rPr>
              <w:t xml:space="preserve">/дм3 &lt;=0,1, сумарна бета-активність </w:t>
            </w:r>
            <w:r>
              <w:rPr>
                <w:rFonts w:ascii="Times New Roman" w:hAnsi="Times New Roman" w:cs="Times New Roman"/>
                <w:sz w:val="24"/>
                <w:szCs w:val="24"/>
              </w:rPr>
              <w:t xml:space="preserve">Бк</w:t>
            </w:r>
            <w:r>
              <w:rPr>
                <w:rFonts w:ascii="Times New Roman" w:hAnsi="Times New Roman" w:cs="Times New Roman"/>
                <w:sz w:val="24"/>
                <w:szCs w:val="24"/>
              </w:rPr>
              <w:t xml:space="preserve">/дм3 &lt;= 1,0.</w:t>
            </w:r>
            <w:r/>
          </w:p>
        </w:tc>
      </w:tr>
    </w:tbl>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Артезіанська природна питна вода повинна, відповідати встановленим мі</w:t>
      </w:r>
      <w:r>
        <w:rPr>
          <w:rFonts w:ascii="Times New Roman" w:hAnsi="Times New Roman" w:cs="Times New Roman"/>
          <w:sz w:val="24"/>
          <w:szCs w:val="24"/>
        </w:rPr>
        <w:t xml:space="preserve">жнародним та українським нормам питної води. Вода проходить постійне тестування та відповідає існуючим стандартам якості. Якість води відповідає Державним санітарним нормам та правилам «Гігієнічні вимоги до води питної, призначеної для споживання людиною (</w:t>
      </w:r>
      <w:r>
        <w:rPr>
          <w:rFonts w:ascii="Times New Roman" w:hAnsi="Times New Roman" w:cs="Times New Roman"/>
          <w:sz w:val="24"/>
          <w:szCs w:val="24"/>
        </w:rPr>
        <w:t xml:space="preserve">ДСан</w:t>
      </w:r>
      <w:r>
        <w:rPr>
          <w:rFonts w:ascii="Times New Roman" w:hAnsi="Times New Roman" w:cs="Times New Roman"/>
          <w:sz w:val="24"/>
          <w:szCs w:val="24"/>
        </w:rPr>
        <w:t xml:space="preserve"> ПІН 2.</w:t>
      </w:r>
      <w:r>
        <w:rPr>
          <w:rFonts w:ascii="Times New Roman" w:hAnsi="Times New Roman" w:cs="Times New Roman"/>
          <w:sz w:val="24"/>
          <w:szCs w:val="24"/>
        </w:rPr>
        <w:t xml:space="preserve">2.4.-171-10)», Кожна партія питної води повинна супроводжуватись якісним посвідченням, яке зазначає: дату розливу, номер партії, об’єм тари, органолептичні показники, фізико – хімічні показники, токсичні елементи та радіонукліди, мікробіологічні показники.</w:t>
      </w:r>
      <w:r/>
    </w:p>
    <w:p>
      <w:pPr>
        <w:ind w:firstLine="425"/>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На ковпачкові та етикетці тари фасованої питної води зазначається:</w:t>
      </w:r>
      <w:r/>
    </w:p>
    <w:p>
      <w:pPr>
        <w:ind w:hanging="142"/>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дата виготовлення;</w:t>
      </w:r>
      <w:r/>
    </w:p>
    <w:p>
      <w:pPr>
        <w:ind w:hanging="142"/>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строк придатності до споживання чи дата закінчення строку придатності до споживання;</w:t>
      </w:r>
      <w:r/>
    </w:p>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умови зберігання та показники якості;</w:t>
      </w:r>
      <w:r/>
    </w:p>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найменування та адреса виробника і місце її виготовлення;</w:t>
      </w:r>
      <w:r/>
    </w:p>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назва нормативного документа, який визначає вимоги щодо якості товару;</w:t>
      </w:r>
      <w:r/>
    </w:p>
    <w:p>
      <w:pPr>
        <w:ind w:firstLine="425"/>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вимоги до хімічного складу води /мг/л (ммоль/дм³).</w:t>
      </w:r>
      <w:r/>
    </w:p>
    <w:p>
      <w:pPr>
        <w:ind w:firstLine="426"/>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продукція повинна мати захисні елементи від підробки (пильовик, </w:t>
      </w:r>
      <w:r>
        <w:rPr>
          <w:rFonts w:ascii="Times New Roman" w:hAnsi="Times New Roman" w:cs="Times New Roman"/>
          <w:sz w:val="24"/>
          <w:szCs w:val="24"/>
        </w:rPr>
        <w:t xml:space="preserve">термоковпачок</w:t>
      </w:r>
      <w:r>
        <w:rPr>
          <w:rFonts w:ascii="Times New Roman" w:hAnsi="Times New Roman" w:cs="Times New Roman"/>
          <w:sz w:val="24"/>
          <w:szCs w:val="24"/>
        </w:rPr>
        <w:t xml:space="preserve">, лазерне нанесення дати та часу розливу та термін придатності на кожній пляшці, одноразова двокомпонентна пробка).</w:t>
      </w:r>
      <w:r/>
    </w:p>
    <w:p>
      <w:pPr>
        <w:ind w:firstLine="425"/>
        <w:jc w:val="both"/>
        <w:spacing w:before="120" w:line="240" w:lineRule="auto"/>
        <w:rPr>
          <w:rFonts w:ascii="Times New Roman" w:hAnsi="Times New Roman" w:cs="Times New Roman"/>
          <w:b/>
          <w:sz w:val="24"/>
          <w:szCs w:val="24"/>
        </w:rPr>
      </w:pPr>
      <w:r>
        <w:rPr>
          <w:rFonts w:ascii="Times New Roman" w:hAnsi="Times New Roman" w:cs="Times New Roman"/>
          <w:b/>
          <w:sz w:val="24"/>
          <w:szCs w:val="24"/>
        </w:rPr>
        <w:t xml:space="preserve">Учасник повинен надати наступну документацію:</w:t>
      </w:r>
      <w:r/>
    </w:p>
    <w:p>
      <w:pPr>
        <w:ind w:firstLine="568"/>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оригінал (або нотаріально завірену копію) сертифікату (сертифікатів) на систему управління безпечністю харчових продуктів відповідно до ДСТУ ISO 22000:2007 (ISO 22000:2005, IDT) або ДСТУ ISO 22000:2019 (ISO 22000:2018, IDT);</w:t>
      </w:r>
      <w:r/>
    </w:p>
    <w:p>
      <w:pPr>
        <w:ind w:firstLine="426"/>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копії сертифікату відповідності (Документ підтверджуючий якість Товару, а саме: сертифікат відповідності, декларацію виробника (якісне посвідчення).</w:t>
      </w:r>
      <w:r/>
    </w:p>
    <w:p>
      <w:pPr>
        <w:ind w:firstLine="263"/>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копію протоколу випробувань питної води на відповідність націонал</w:t>
      </w:r>
      <w:r>
        <w:rPr>
          <w:rFonts w:ascii="Times New Roman" w:hAnsi="Times New Roman" w:cs="Times New Roman"/>
          <w:sz w:val="24"/>
          <w:szCs w:val="24"/>
        </w:rPr>
        <w:t xml:space="preserve">ьним, міжнародним та регіональним стандартам який виданий атестованими лабораторіями підприємств питного водопостачання населення або установ та закладів державної санітарно-епідеміологічної служби України та дійсний на момент подання пропозиції Учасником.</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w:t>
      </w:r>
      <w:r>
        <w:rPr>
          <w:rFonts w:ascii="Times New Roman" w:hAnsi="Times New Roman" w:cs="Times New Roman"/>
          <w:bCs/>
          <w:i/>
          <w:iCs/>
          <w:sz w:val="24"/>
          <w:szCs w:val="24"/>
        </w:rPr>
        <w:t xml:space="preserve">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w:t>
      </w:r>
      <w:r>
        <w:rPr>
          <w:rFonts w:ascii="Times New Roman" w:hAnsi="Times New Roman" w:cs="Times New Roman"/>
          <w:bCs/>
          <w:i/>
          <w:iCs/>
          <w:sz w:val="24"/>
          <w:szCs w:val="24"/>
        </w:rPr>
        <w:t xml:space="preserve">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bookmarkEnd w:id="2"/>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66 960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шістдесят шість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дев’ятсот шістдесят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2024-08-23T16:09:59Z</dcterms:modified>
</cp:coreProperties>
</file>