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77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  <w:u w:val="single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Шафа серверна підлогова 19’’ 46U 600*1000 в комплекті із блоком розподілу живлення вертикальний </w:t>
      </w:r>
      <w:r>
        <w:rPr>
          <w:b w:val="0"/>
          <w:bCs w:val="0"/>
          <w:sz w:val="24"/>
          <w:szCs w:val="24"/>
        </w:rPr>
        <w:t xml:space="preserve">Legrand</w:t>
      </w:r>
      <w:r>
        <w:rPr>
          <w:b w:val="0"/>
          <w:bCs w:val="0"/>
          <w:sz w:val="24"/>
          <w:szCs w:val="24"/>
        </w:rPr>
        <w:t xml:space="preserve"> 24  за кодом CPV за ЄЗС ДК 021:2015: 48820000-2 Сервери</w:t>
      </w:r>
      <w:r>
        <w:rPr>
          <w:b w:val="0"/>
          <w:bCs w:val="0"/>
          <w:sz w:val="24"/>
          <w:szCs w:val="24"/>
        </w:rPr>
        <w:t xml:space="preserve">.</w:t>
      </w:r>
      <w:r/>
    </w:p>
    <w:p>
      <w:pPr>
        <w:pStyle w:val="689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008838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Шафа серверна підлогова 19’’ 46U 600*1000 в комплекті із блоком розподілу живлення вертикальний </w:t>
      </w:r>
      <w:r>
        <w:rPr>
          <w:rFonts w:ascii="Times New Roman" w:hAnsi="Times New Roman" w:cs="Times New Roman"/>
          <w:sz w:val="24"/>
          <w:szCs w:val="24"/>
        </w:rPr>
        <w:t xml:space="preserve">Legrand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83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Шафа серверна підлогова 19’’ 46U 600*1000 в комплекті із блоком розподілу живлення вертикальний </w:t>
            </w:r>
            <w:r>
              <w:rPr>
                <w:b/>
                <w:bCs/>
              </w:rPr>
              <w:t xml:space="preserve">Legrand</w:t>
            </w:r>
            <w:r>
              <w:rPr>
                <w:b/>
                <w:bCs/>
              </w:rPr>
              <w:t xml:space="preserve"> 24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t xml:space="preserve">10</w:t>
            </w:r>
            <w:r/>
          </w:p>
        </w:tc>
      </w:tr>
    </w:tbl>
    <w:p>
      <w:pPr>
        <w:pStyle w:val="685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685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завершення; </w:t>
      </w:r>
      <w:r>
        <w:rPr>
          <w:b/>
          <w:bCs/>
          <w:i/>
          <w:iCs/>
        </w:rPr>
        <w:t xml:space="preserve">монтаж та введення в експлуатацію Товару.</w:t>
      </w:r>
      <w:r/>
    </w:p>
    <w:p>
      <w:pPr>
        <w:pStyle w:val="685"/>
        <w:ind w:firstLine="567"/>
        <w:jc w:val="both"/>
        <w:spacing w:after="0" w:line="240" w:lineRule="auto"/>
        <w:rPr>
          <w:color w:val="000000" w:themeColor="text1"/>
          <w:shd w:val="clear" w:color="auto" w:fill="ffffff"/>
        </w:rPr>
      </w:pPr>
      <w:r/>
      <w:bookmarkStart w:id="0" w:name="_Hlk131598067"/>
      <w:r>
        <w:rPr>
          <w:color w:val="000000" w:themeColor="text1"/>
          <w:shd w:val="clear" w:color="auto" w:fill="ffffff"/>
        </w:rPr>
        <w:t xml:space="preserve">1. Товар повинен постачатись новим в упаковці та з маркуванням виробника, а також повинна бути в наявності технічна документація, яка входить до комплекту постачання фірми-виробника.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У разі постачання неякісного Товару, Постачальник забезпечує заміну неякісного Товару якісним за власний рахунок при пред’явлені Покупцем не пізніше 7 робочих днів після отримання Товару.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Наявність заявлених Покупцем недоліків та причини їх виникнення повинно встановлюватись актом обстеження технічного стану Товару, який обов’язково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укладається між Сторонами і є підставою для усунення Постачальником недоліків Товару у термін, що узгоджується за домовленістю Сторін. Акт обстеження технічного стану складається сервісним (технічним) центром Постачальника за участю представника Покупця.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Виконання постачання повинно здійснюватися у відповідно до діючих нормативно-правових документів та умов цього </w:t>
      </w:r>
      <w:r>
        <w:rPr>
          <w:rFonts w:ascii="Times New Roman" w:hAnsi="Times New Roman" w:cs="Times New Roman"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sz w:val="24"/>
          <w:szCs w:val="24"/>
        </w:rPr>
        <w:t xml:space="preserve"> Договору.</w:t>
      </w:r>
      <w:bookmarkStart w:id="1" w:name="_Hlk131682113"/>
      <w:r/>
      <w:bookmarkEnd w:id="0"/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Надати у складі пропозиції сертифікати відповідності виробника та/або технічні паспорти.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Гарантійні зобов’язання (всіх найменувань) повинні бути не менше строків, визначених технічними умовами виробника даних товарів.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Постачальник повинен забезпечити обслуговування (підтримку) протягом гарантійного терміну.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997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2928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163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2943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1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81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Style w:val="683"/>
        <w:tblW w:w="9634" w:type="dxa"/>
        <w:tblLook w:val="04A0" w:firstRow="1" w:lastRow="0" w:firstColumn="1" w:lastColumn="0" w:noHBand="0" w:noVBand="1"/>
      </w:tblPr>
      <w:tblGrid>
        <w:gridCol w:w="456"/>
        <w:gridCol w:w="6564"/>
        <w:gridCol w:w="1208"/>
        <w:gridCol w:w="1406"/>
      </w:tblGrid>
      <w:tr>
        <w:trPr/>
        <w:tc>
          <w:tcPr>
            <w:tcW w:w="45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656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W w:w="140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/>
        <w:tc>
          <w:tcPr>
            <w:tcW w:w="45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6564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Шафа серверна підлогова MIRSAN 19" 46U</w:t>
            </w:r>
            <w:r/>
          </w:p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Габарити: 2170x 600x1000 Шафа серверний з перфорованими дверима. Поставляється в розібраному вигляді Комплект поставки: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збірна несуча рама з встановленими знімними подвійними бічними стінками з замками; Передні двері перфорована 63% з замком з ручкою; Задні двері сталеві розсувні, перфоровані 63%, з замком з ручкою. Дві пари монтажних профілів на відстані 19 "з маркуванням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юнітів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з можливістю регулювання по глибині; Знімна верхня плита, перфорована 63%, з регульованою заглушкою для введення кабелю, з ущільнювачем; Знімна нижня плита з регульованою заглушкою для введення кабелю,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ущіль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нювачем; Регульовані ніжки і ролики в комплекті. Ступінь захисту: – IP 20 згідно стандарту EN 60529 Обробка поверхні: Каркас, бічні стінки, двері, пофарбовані порошковою фарбою з великою структурою кольору RAL 9002 (чорний). Монтажні і поперечні профілі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алюцинк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Максимальний дозволений вага обладнання встановленого в шафі: 1500 кг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W w:w="140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tbl>
      <w:tblPr>
        <w:tblStyle w:val="683"/>
        <w:tblW w:w="9634" w:type="dxa"/>
        <w:tblLook w:val="04A0" w:firstRow="1" w:lastRow="0" w:firstColumn="1" w:lastColumn="0" w:noHBand="0" w:noVBand="1"/>
      </w:tblPr>
      <w:tblGrid>
        <w:gridCol w:w="456"/>
        <w:gridCol w:w="6627"/>
        <w:gridCol w:w="1276"/>
        <w:gridCol w:w="1275"/>
      </w:tblGrid>
      <w:tr>
        <w:trPr>
          <w:trHeight w:val="537"/>
        </w:trPr>
        <w:tc>
          <w:tcPr>
            <w:tcW w:w="45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6627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/>
        <w:tc>
          <w:tcPr>
            <w:tcW w:w="45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6627" w:type="dxa"/>
            <w:vAlign w:val="center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 розподілу живлення вертикальний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Legrand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24 розетки24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розетки C13 із системою блокування шнура Кабель живлення довжиною 3 м з вилкою IEC 60309 32 A 2P+T Кабельна 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Legrand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LCS³ Розподіл енергії – однофазні базові блоки розподілу живлення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-U (PDU) Призначення: для забезпечення електроенергією ІТ-обладнання у 19- дюймових корпусах Однофазні блоки розподілу живлення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-U для вертикального монтажу у шафі Електроживлення 230 В – 50/60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 розподілу живлення з 2 ланцюгами захищені однополюсним автоматичним вимикачем на 16 А + нейтраль в опорі з краями, що виступають, щоб уникнути випадкового виходу з ладу. Кожен ланцюг ідентифікується кольоровим маркуванням. Загальна кількіс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розеток розподіляється між двома контурами. Розетки 2P+E: стандартні розетки C13 та C19, розетки французького/німецького/британського стандартів із захисними шторками, розетки французького/німецького стандартів із нахилом 55° Кабельне введення, що оберт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ається на 330° Стандартні розетки C13 і C19 з системою блокування шнура. Поставляється з 2 комплектами металевих монтажних кронштейнів: кнопкові (для швидкої фіксації та змінного кроку) та стандарт і кронштейни (для кріплення гвинтами). Алюмінієвий профіль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бюджет України на 2023 рік» за КПКВК 1001050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791 701,30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сімсот дев’яносто одна тисяча сімсот одна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гривня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7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7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12"/>
  </w:num>
  <w:num w:numId="7">
    <w:abstractNumId w:val="6"/>
  </w:num>
  <w:num w:numId="8">
    <w:abstractNumId w:val="14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6"/>
    <w:next w:val="67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8"/>
    <w:link w:val="677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6"/>
    <w:next w:val="67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6"/>
    <w:next w:val="67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6"/>
    <w:next w:val="67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6"/>
    <w:next w:val="67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6"/>
    <w:next w:val="67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6"/>
    <w:next w:val="67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6"/>
    <w:next w:val="67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6"/>
    <w:next w:val="67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6"/>
    <w:next w:val="67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6"/>
    <w:next w:val="67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6"/>
    <w:next w:val="67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8"/>
    <w:link w:val="42"/>
    <w:uiPriority w:val="99"/>
  </w:style>
  <w:style w:type="character" w:styleId="45">
    <w:name w:val="Footer Char"/>
    <w:basedOn w:val="678"/>
    <w:link w:val="687"/>
    <w:uiPriority w:val="99"/>
  </w:style>
  <w:style w:type="paragraph" w:styleId="46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7"/>
    <w:uiPriority w:val="99"/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rPr>
      <w:lang w:val="uk-UA"/>
    </w:rPr>
  </w:style>
  <w:style w:type="paragraph" w:styleId="677">
    <w:name w:val="Heading 2"/>
    <w:basedOn w:val="676"/>
    <w:link w:val="696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>
    <w:name w:val="List Paragraph"/>
    <w:basedOn w:val="676"/>
    <w:link w:val="6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2" w:customStyle="1">
    <w:name w:val="Абзац списку Знак"/>
    <w:link w:val="681"/>
    <w:uiPriority w:val="34"/>
    <w:rPr>
      <w:rFonts w:ascii="Calibri" w:hAnsi="Calibri" w:eastAsia="Calibri" w:cs="Calibri"/>
      <w:lang w:eastAsia="zh-CN"/>
    </w:rPr>
  </w:style>
  <w:style w:type="table" w:styleId="683">
    <w:name w:val="Table Grid"/>
    <w:basedOn w:val="67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4" w:customStyle="1">
    <w:name w:val="Сетка таблицы2"/>
    <w:basedOn w:val="679"/>
    <w:next w:val="683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5">
    <w:name w:val="Normal (Web)"/>
    <w:basedOn w:val="676"/>
    <w:link w:val="692"/>
    <w:unhideWhenUsed/>
    <w:qFormat/>
    <w:rPr>
      <w:rFonts w:ascii="Times New Roman" w:hAnsi="Times New Roman" w:cs="Times New Roman"/>
      <w:sz w:val="24"/>
      <w:szCs w:val="24"/>
    </w:rPr>
  </w:style>
  <w:style w:type="table" w:styleId="686" w:customStyle="1">
    <w:name w:val="Сетка таблицы1"/>
    <w:basedOn w:val="679"/>
    <w:next w:val="683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7">
    <w:name w:val="Footer"/>
    <w:basedOn w:val="676"/>
    <w:link w:val="688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88" w:customStyle="1">
    <w:name w:val="Нижній колонтитул Знак"/>
    <w:basedOn w:val="678"/>
    <w:link w:val="687"/>
    <w:uiPriority w:val="99"/>
    <w:rPr>
      <w:rFonts w:ascii="Calibri" w:hAnsi="Calibri" w:eastAsia="Calibri" w:cs="Calibri"/>
      <w:lang w:eastAsia="zh-CN"/>
    </w:rPr>
  </w:style>
  <w:style w:type="paragraph" w:styleId="689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0">
    <w:name w:val="Hyperlink"/>
    <w:basedOn w:val="678"/>
    <w:uiPriority w:val="99"/>
    <w:unhideWhenUsed/>
    <w:rPr>
      <w:color w:val="0563c1" w:themeColor="hyperlink"/>
      <w:u w:val="single"/>
    </w:rPr>
  </w:style>
  <w:style w:type="character" w:styleId="691" w:customStyle="1">
    <w:name w:val="xfm_93972720"/>
    <w:basedOn w:val="678"/>
  </w:style>
  <w:style w:type="character" w:styleId="692" w:customStyle="1">
    <w:name w:val="Звичайний (веб) Знак"/>
    <w:link w:val="685"/>
    <w:qFormat/>
    <w:rPr>
      <w:rFonts w:ascii="Times New Roman" w:hAnsi="Times New Roman" w:cs="Times New Roman"/>
      <w:sz w:val="24"/>
      <w:szCs w:val="24"/>
      <w:lang w:val="uk-UA"/>
    </w:rPr>
  </w:style>
  <w:style w:type="paragraph" w:styleId="693">
    <w:name w:val="Body Text 2"/>
    <w:basedOn w:val="676"/>
    <w:link w:val="694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694" w:customStyle="1">
    <w:name w:val="Основний текст 2 Знак"/>
    <w:basedOn w:val="678"/>
    <w:link w:val="69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5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696" w:customStyle="1">
    <w:name w:val="Заголовок 2 Знак"/>
    <w:basedOn w:val="678"/>
    <w:link w:val="677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697">
    <w:name w:val="No Spacing"/>
    <w:link w:val="698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698" w:customStyle="1">
    <w:name w:val="Без інтервалів Знак"/>
    <w:basedOn w:val="678"/>
    <w:link w:val="697"/>
    <w:uiPriority w:val="1"/>
    <w:rPr>
      <w:rFonts w:ascii="Calibri" w:hAnsi="Calibri" w:eastAsia="Calibri" w:cs="Times New Roman"/>
      <w:lang w:val="uk-UA"/>
    </w:rPr>
  </w:style>
  <w:style w:type="character" w:styleId="699" w:customStyle="1">
    <w:name w:val="Другое_"/>
    <w:basedOn w:val="678"/>
    <w:link w:val="700"/>
    <w:rPr>
      <w:rFonts w:ascii="Calibri" w:hAnsi="Calibri" w:eastAsia="Calibri" w:cs="Calibri"/>
      <w:sz w:val="20"/>
      <w:szCs w:val="20"/>
    </w:rPr>
  </w:style>
  <w:style w:type="paragraph" w:styleId="700" w:customStyle="1">
    <w:name w:val="Другое"/>
    <w:basedOn w:val="676"/>
    <w:link w:val="699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76</cp:revision>
  <dcterms:created xsi:type="dcterms:W3CDTF">2022-11-01T12:47:00Z</dcterms:created>
  <dcterms:modified xsi:type="dcterms:W3CDTF">2023-05-04T15:12:50Z</dcterms:modified>
</cp:coreProperties>
</file>