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(відповідно до пункту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постанови КМУ від 11.10.2016 № 710 «Про ефективне використання державних коштів» (зі змінами))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Найменування, місцезнаходження та ідентифікаційний код замовника в Єдиному державному реєстрі юридичних осіб, фізичних осіб-підприємців та громадських формувань, його категорія: </w:t>
      </w:r>
      <w:r>
        <w:rPr>
          <w:rFonts w:ascii="Times New Roman" w:hAnsi="Times New Roman" w:cs="Times New Roman"/>
          <w:sz w:val="24"/>
          <w:szCs w:val="24"/>
        </w:rPr>
        <w:t xml:space="preserve">ДЕРЖАВНА УСТАНОВА "ЦЕНТР ІНФРАСТРУКТУРИ ТА ТЕХНОЛОГІЙ МІНІСТЕРСТВА ВНУТРІШНІХ СПРАВ УКРАЇНИ"; 03151, Україна, м. Київ, вул. Володимира Сікевича, 28; категорія замовника – бюджетна неприбуткова установа. 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675"/>
        <w:ind w:left="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2. Назва предм</w:t>
      </w:r>
      <w:r>
        <w:rPr>
          <w:rFonts w:ascii="Times New Roman" w:hAnsi="Times New Roman"/>
          <w:b/>
          <w:sz w:val="24"/>
          <w:szCs w:val="24"/>
        </w:rPr>
        <w:t xml:space="preserve">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 </w:t>
      </w:r>
      <w:bookmarkStart w:id="0" w:name="_Hlk131760739"/>
      <w:r>
        <w:rPr>
          <w:rFonts w:ascii="Times New Roman" w:hAnsi="Times New Roman"/>
          <w:color w:val="000000"/>
          <w:sz w:val="24"/>
          <w:szCs w:val="24"/>
        </w:rPr>
        <w:t xml:space="preserve">Послуги з прокладання оптоволоконного кабелю від буд. №28 на вул. Володимира Сікевича до буд. №26 на вул. Волинська у місті Києві за кодом CPV за ЄЗС ДК 021:2015: </w:t>
      </w:r>
      <w:bookmarkEnd w:id="0"/>
      <w:r>
        <w:rPr>
          <w:rFonts w:ascii="Times New Roman" w:hAnsi="Times New Roman"/>
          <w:color w:val="000000"/>
          <w:sz w:val="24"/>
          <w:szCs w:val="24"/>
        </w:rPr>
        <w:t xml:space="preserve">72710000-0 </w:t>
      </w:r>
      <w:r>
        <w:rPr>
          <w:rFonts w:ascii="Times New Roman" w:hAnsi="Times New Roman"/>
          <w:sz w:val="24"/>
          <w:szCs w:val="24"/>
        </w:rPr>
        <w:t xml:space="preserve">Послуги у сфері локальних мереж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Ідентифікатор закупівлі: — </w:t>
      </w:r>
      <w:r>
        <w:rPr>
          <w:rFonts w:ascii="Times New Roman" w:hAnsi="Times New Roman" w:cs="Times New Roman"/>
          <w:sz w:val="24"/>
          <w:szCs w:val="24"/>
        </w:rPr>
        <w:t xml:space="preserve">UA-2023-0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07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008191</w:t>
      </w:r>
      <w:r>
        <w:rPr>
          <w:rFonts w:ascii="Times New Roman" w:hAnsi="Times New Roman" w:cs="Times New Roman"/>
          <w:sz w:val="24"/>
          <w:szCs w:val="24"/>
        </w:rPr>
        <w:t xml:space="preserve">-а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4. Обґрунтування технічних та якісних характеристик предмета закупівлі:  </w:t>
      </w:r>
      <w:r>
        <w:rPr>
          <w:rFonts w:ascii="Times New Roman" w:hAnsi="Times New Roman"/>
          <w:color w:val="000000"/>
          <w:sz w:val="24"/>
          <w:szCs w:val="24"/>
        </w:rPr>
        <w:t xml:space="preserve">Послуги з прокладання оптоволоконного кабелю від буд. №28 на вул. Володимира Сікевича до буд. №26 на вул. Волинська у місті Києві</w:t>
      </w:r>
      <w:r/>
    </w:p>
    <w:p>
      <w:r/>
      <w:r/>
    </w:p>
    <w:p>
      <w:pPr>
        <w:jc w:val="center"/>
        <w:rPr>
          <w:rFonts w:ascii="Times New Roman" w:hAnsi="Times New Roman"/>
          <w:b/>
          <w:sz w:val="32"/>
          <w:szCs w:val="32"/>
          <w:lang w:eastAsia="uk-UA"/>
        </w:rPr>
      </w:pPr>
      <w:r>
        <w:rPr>
          <w:rFonts w:ascii="Times New Roman" w:hAnsi="Times New Roman"/>
          <w:b/>
          <w:sz w:val="32"/>
          <w:szCs w:val="32"/>
          <w:lang w:eastAsia="uk-UA"/>
        </w:rPr>
        <w:t xml:space="preserve">Технічні вимоги</w:t>
      </w:r>
      <w:r/>
    </w:p>
    <w:tbl>
      <w:tblPr>
        <w:tblStyle w:val="669"/>
        <w:tblW w:w="10031" w:type="dxa"/>
        <w:tblLook w:val="04A0" w:firstRow="1" w:lastRow="0" w:firstColumn="1" w:lastColumn="0" w:noHBand="0" w:noVBand="1"/>
      </w:tblPr>
      <w:tblGrid>
        <w:gridCol w:w="817"/>
        <w:gridCol w:w="4394"/>
        <w:gridCol w:w="2464"/>
        <w:gridCol w:w="2356"/>
      </w:tblGrid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lang w:eastAsia="uk-UA"/>
              </w:rPr>
            </w:pPr>
            <w:r>
              <w:rPr>
                <w:rFonts w:ascii="Times New Roman" w:hAnsi="Times New Roman"/>
                <w:b/>
                <w:lang w:eastAsia="uk-UA"/>
              </w:rPr>
              <w:t xml:space="preserve">№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lang w:eastAsia="uk-UA"/>
              </w:rPr>
            </w:pPr>
            <w:r>
              <w:rPr>
                <w:rFonts w:ascii="Times New Roman" w:hAnsi="Times New Roman"/>
                <w:b/>
                <w:lang w:eastAsia="uk-UA"/>
              </w:rPr>
              <w:t xml:space="preserve">Номенклатура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lang w:eastAsia="uk-UA"/>
              </w:rPr>
            </w:pPr>
            <w:r>
              <w:rPr>
                <w:rFonts w:ascii="Times New Roman" w:hAnsi="Times New Roman"/>
                <w:b/>
                <w:lang w:eastAsia="uk-UA"/>
              </w:rPr>
              <w:t xml:space="preserve">Одиниця виміру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lang w:eastAsia="uk-UA"/>
              </w:rPr>
            </w:pPr>
            <w:r>
              <w:rPr>
                <w:rFonts w:ascii="Times New Roman" w:hAnsi="Times New Roman"/>
                <w:b/>
                <w:lang w:eastAsia="uk-UA"/>
              </w:rPr>
              <w:t xml:space="preserve">Кількість</w:t>
            </w:r>
            <w:r/>
          </w:p>
        </w:tc>
      </w:tr>
      <w:tr>
        <w:trPr/>
        <w:tc>
          <w:tcPr>
            <w:gridSpan w:val="4"/>
            <w:tcW w:w="1003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lang w:eastAsia="uk-UA"/>
              </w:rPr>
            </w:pPr>
            <w:r>
              <w:rPr>
                <w:rFonts w:ascii="Times New Roman" w:hAnsi="Times New Roman"/>
                <w:b/>
                <w:lang w:eastAsia="uk-UA"/>
              </w:rPr>
              <w:t xml:space="preserve">Послуги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Проектно-вишукувальні роботи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шт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2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Виконавча документація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шт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3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Прокладання кабелю в кабедьну каналізацію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м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1668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4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Прокладання кабелю по будівлях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м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215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5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Прокладання кабелю в грунт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м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3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6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Монтаж </w:t>
            </w:r>
            <w:r>
              <w:rPr>
                <w:rFonts w:ascii="Times New Roman" w:hAnsi="Times New Roman"/>
                <w:bCs/>
                <w:lang w:val="en-US" w:eastAsia="uk-UA"/>
              </w:rPr>
              <w:t xml:space="preserve">ODF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шт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6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7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Зварювання оптичних волокон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шт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144</w:t>
            </w:r>
            <w:r/>
          </w:p>
        </w:tc>
      </w:tr>
      <w:tr>
        <w:trPr/>
        <w:tc>
          <w:tcPr>
            <w:gridSpan w:val="4"/>
            <w:tcW w:w="1003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lang w:eastAsia="uk-UA"/>
              </w:rPr>
            </w:pPr>
            <w:r>
              <w:rPr>
                <w:rFonts w:ascii="Times New Roman" w:hAnsi="Times New Roman"/>
                <w:b/>
                <w:lang w:eastAsia="uk-UA"/>
              </w:rPr>
              <w:t xml:space="preserve">Матеріали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Кабель броньований ОК-24 для прокладання в кабельну каналізацію та грунт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м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1746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2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Кабель ОК ОК-24 для приміщень, що не підтримує горіння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м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140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3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Оптична панель </w:t>
            </w:r>
            <w:r>
              <w:rPr>
                <w:rFonts w:ascii="Times New Roman" w:hAnsi="Times New Roman"/>
                <w:bCs/>
                <w:lang w:val="en-US" w:eastAsia="uk-UA"/>
              </w:rPr>
              <w:t xml:space="preserve">FC</w:t>
            </w:r>
            <w:r>
              <w:rPr>
                <w:rFonts w:ascii="Times New Roman" w:hAnsi="Times New Roman"/>
                <w:bCs/>
                <w:lang w:eastAsia="uk-UA"/>
              </w:rPr>
              <w:t xml:space="preserve">-24</w:t>
            </w:r>
            <w:r>
              <w:rPr>
                <w:rFonts w:ascii="Times New Roman" w:hAnsi="Times New Roman"/>
                <w:bCs/>
                <w:lang w:eastAsia="uk-UA"/>
              </w:rPr>
              <w:t xml:space="preserve"> в зборі (</w:t>
            </w:r>
            <w:r>
              <w:rPr>
                <w:rFonts w:ascii="Times New Roman" w:hAnsi="Times New Roman"/>
                <w:bCs/>
                <w:lang w:val="en-US" w:eastAsia="uk-UA"/>
              </w:rPr>
              <w:t xml:space="preserve">ODF</w:t>
            </w:r>
            <w:r>
              <w:rPr>
                <w:rFonts w:ascii="Times New Roman" w:hAnsi="Times New Roman"/>
                <w:bCs/>
                <w:lang w:eastAsia="uk-UA"/>
              </w:rPr>
              <w:t xml:space="preserve">)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шт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6</w:t>
            </w:r>
            <w:r/>
          </w:p>
        </w:tc>
      </w:tr>
      <w:tr>
        <w:trPr/>
        <w:tc>
          <w:tcPr>
            <w:tcW w:w="81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4</w:t>
            </w:r>
            <w:r/>
          </w:p>
        </w:tc>
        <w:tc>
          <w:tcPr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Патчкорд</w:t>
            </w:r>
            <w:r>
              <w:rPr>
                <w:rFonts w:ascii="Times New Roman" w:hAnsi="Times New Roman"/>
                <w:bCs/>
                <w:lang w:val="en-US" w:eastAsia="uk-UA"/>
              </w:rPr>
              <w:t xml:space="preserve"> </w:t>
            </w:r>
            <w:r>
              <w:rPr>
                <w:rFonts w:ascii="Times New Roman" w:hAnsi="Times New Roman"/>
                <w:bCs/>
                <w:lang w:val="en-US" w:eastAsia="uk-UA"/>
              </w:rPr>
              <w:t xml:space="preserve">FC-FC</w:t>
            </w:r>
            <w:r>
              <w:rPr>
                <w:rFonts w:ascii="Times New Roman" w:hAnsi="Times New Roman"/>
                <w:bCs/>
                <w:lang w:eastAsia="uk-UA"/>
              </w:rPr>
              <w:t xml:space="preserve">, 1м, </w:t>
            </w:r>
            <w:r>
              <w:rPr>
                <w:rFonts w:ascii="Times New Roman" w:hAnsi="Times New Roman"/>
                <w:bCs/>
                <w:lang w:val="en-US" w:eastAsia="uk-UA"/>
              </w:rPr>
              <w:t xml:space="preserve">Simplex</w:t>
            </w:r>
            <w:r/>
          </w:p>
        </w:tc>
        <w:tc>
          <w:tcPr>
            <w:tcW w:w="246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шт</w:t>
            </w:r>
            <w:r/>
          </w:p>
        </w:tc>
        <w:tc>
          <w:tcPr>
            <w:tcW w:w="235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Cs/>
                <w:lang w:eastAsia="uk-UA"/>
              </w:rPr>
            </w:pPr>
            <w:r>
              <w:rPr>
                <w:rFonts w:ascii="Times New Roman" w:hAnsi="Times New Roman"/>
                <w:bCs/>
                <w:lang w:eastAsia="uk-UA"/>
              </w:rPr>
              <w:t xml:space="preserve">48</w:t>
            </w:r>
            <w:r/>
          </w:p>
        </w:tc>
      </w:tr>
    </w:tbl>
    <w:p>
      <w:pPr>
        <w:jc w:val="center"/>
        <w:rPr>
          <w:rFonts w:ascii="Times New Roman" w:hAnsi="Times New Roman"/>
          <w:b/>
          <w:lang w:eastAsia="uk-UA"/>
        </w:rPr>
      </w:pPr>
      <w:r>
        <w:rPr>
          <w:rFonts w:ascii="Times New Roman" w:hAnsi="Times New Roman"/>
          <w:b/>
          <w:lang w:eastAsia="uk-UA"/>
        </w:rPr>
      </w:r>
      <w:r/>
    </w:p>
    <w:p>
      <w:pPr>
        <w:contextualSpacing/>
        <w:ind w:right="-1" w:firstLine="567"/>
        <w:jc w:val="both"/>
        <w:spacing w:after="0" w:line="240" w:lineRule="auto"/>
        <w:tabs>
          <w:tab w:val="left" w:pos="567" w:leader="none"/>
        </w:tabs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У разі наявності посилання на конкретну торгову марку, фірму, код виробника, назву Товару або джерело його походження слід вважати, що після такого посилання міститься вираз «або аналог».</w:t>
      </w:r>
      <w:r/>
    </w:p>
    <w:p>
      <w:pPr>
        <w:ind w:firstLine="567"/>
        <w:jc w:val="both"/>
        <w:spacing w:after="0" w:line="240" w:lineRule="auto"/>
        <w:tabs>
          <w:tab w:val="left" w:pos="-2268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Під «аналогом» розуміється аналогічний Товар (рівноцінний і рівнозначний), який повністю відповідає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технічним та якісним характеристикам,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зазначеним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Замовником.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У разі, якщо учасник пропонує «аналог», замість, наведеного Замовником, то він повинен позначити таку складову частину виразом «аналог» та надати документи, які підтверджують, що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«аналог» має аналогічні якісні та технічні характеристики. Також надати порівняльну таблицю із зазначенням  найменування товару та запропонованого учасником  аналогу.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Всі елементи обладнання та матеріали повинні бути сертифіковані в Україні та мати необхідні дозвільні документи, у разі сертифікації даних матеріалів.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Всі необхідні витратні матеріали, що не передбачив Замовник, Учаснику необхідно передбачити та внести в ціну тендерної пропозиції.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Надати у складі пропозиції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копію чинної ліцензії </w:t>
      </w:r>
      <w:r>
        <w:rPr>
          <w:rFonts w:ascii="Times New Roman" w:hAnsi="Times New Roman" w:cs="Times New Roman"/>
          <w:sz w:val="24"/>
          <w:szCs w:val="24"/>
        </w:rPr>
        <w:t xml:space="preserve">або документа дозвільного характеру (у разі їх наявності) на провадження певного виду господарської діяльності, якщо отримання дозволу або ліцензії на провадження такого виду діяльності передбачено законом.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hAnsi="Times New Roman" w:cs="Times New Roman"/>
          <w:bCs/>
          <w:sz w:val="24"/>
          <w:szCs w:val="24"/>
          <w:lang w:eastAsia="uk-UA"/>
        </w:rPr>
        <w:t xml:space="preserve">4. Учаснику необхідно надати гарантій лист у складі пропозиції, що до складу даної послуги, що закуповується, входить оплата послуг та матеріалів зазначених у технічних вимогах та  послуг із технічного нагляду АТ «Укртелеком».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hAnsi="Times New Roman" w:cs="Times New Roman"/>
          <w:bCs/>
          <w:sz w:val="24"/>
          <w:szCs w:val="24"/>
          <w:lang w:eastAsia="uk-UA"/>
        </w:rPr>
        <w:t xml:space="preserve">5. Всі послуги Учасник повинен надати у відповідності до Технічних умов від АТ «Укртелеком».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8375" cy="710565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048375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6.2pt;height:559.5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05825"/>
                <wp:effectExtent l="0" t="0" r="9525" b="952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029325" cy="850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pt;height:669.8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8162925"/>
                <wp:effectExtent l="0" t="0" r="9525" b="952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010274" cy="816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3.2pt;height:642.8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62650" cy="836295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62650" cy="836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9.5pt;height:658.5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7425" cy="9953625"/>
                <wp:effectExtent l="0" t="0" r="9525" b="952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67425" cy="995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7.8pt;height:783.8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5. Обґрунтування розміру бюджетного призначення: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розмір бюджетного призначення визначено Законом України «Про Державний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бюджет України на 2023 рік» за КПКВК 1001050 «Реалізація державної політики у сфері внутрішніх справ, забезпечення виконання завдань і функцій органів, установ та закладів Міністерства внутрішніх справ України» відповідно до бюджетного запиту на 2023 рік.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6. Очікувана вартість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229 350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 грн.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двісті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двадцять дев’ять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тисяч триста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п’ятдесят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гривень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00 коп.) з ПДВ.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7. Обґрунтування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очікуваної вартості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Очікувана вартість визначена відповідно до частини 1 та 2 пункту 1 Розділу ІІІ «Методи визначення очікуваної вартості» Примірної методики визначення очікуваної вартості предмета 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акупівлі затвердженої Наказом Міністерства розвитку економіки, торгівлі та сільського господарства України 18.02.2020 № 275 та розрахована, як середньоарифметичне значення масиву отриманих даних, що розраховується за такою формулою: Цод = (Ц1 +… + Цк) / К.</w:t>
      </w: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  <w:t xml:space="preserve">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8. Процедура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Застосовується процедура відкритих торгів з особливостями.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3"/>
      <w:rPr>
        <w:sz w:val="8"/>
      </w:rPr>
    </w:pPr>
    <w:r>
      <w:rPr>
        <w:sz w:val="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space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space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16" w:hanging="360"/>
      </w:pPr>
      <w:rPr>
        <w:rFonts w:hint="default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32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04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6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16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32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88" w:hanging="1440"/>
      </w:pPr>
      <w:rPr>
        <w:rFonts w:hint="default"/>
        <w:u w:val="none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583" w:hanging="405"/>
      </w:pPr>
      <w:rPr>
        <w:rFonts w:hint="default"/>
      </w:rPr>
    </w:lvl>
    <w:lvl w:ilvl="2">
      <w:start w:val="4"/>
      <w:numFmt w:val="decimal"/>
      <w:isLgl w:val="false"/>
      <w:suff w:val="space"/>
      <w:lvlText w:val="%1.%2.%3"/>
      <w:lvlJc w:val="left"/>
      <w:pPr>
        <w:ind w:left="1076" w:hanging="720"/>
      </w:pPr>
      <w:rPr>
        <w:rFonts w:hint="default"/>
        <w:i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432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148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864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3"/>
    <w:next w:val="66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63"/>
    <w:next w:val="66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63"/>
    <w:next w:val="66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63"/>
    <w:next w:val="66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63"/>
    <w:next w:val="66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63"/>
    <w:next w:val="66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63"/>
    <w:next w:val="66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63"/>
    <w:next w:val="66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63"/>
    <w:next w:val="66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63"/>
    <w:next w:val="66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4"/>
    <w:link w:val="34"/>
    <w:uiPriority w:val="10"/>
    <w:rPr>
      <w:sz w:val="48"/>
      <w:szCs w:val="48"/>
    </w:rPr>
  </w:style>
  <w:style w:type="paragraph" w:styleId="36">
    <w:name w:val="Subtitle"/>
    <w:basedOn w:val="663"/>
    <w:next w:val="66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4"/>
    <w:link w:val="36"/>
    <w:uiPriority w:val="11"/>
    <w:rPr>
      <w:sz w:val="24"/>
      <w:szCs w:val="24"/>
    </w:rPr>
  </w:style>
  <w:style w:type="paragraph" w:styleId="38">
    <w:name w:val="Quote"/>
    <w:basedOn w:val="663"/>
    <w:next w:val="66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3"/>
    <w:next w:val="66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6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64"/>
    <w:link w:val="42"/>
    <w:uiPriority w:val="99"/>
  </w:style>
  <w:style w:type="character" w:styleId="45">
    <w:name w:val="Footer Char"/>
    <w:basedOn w:val="664"/>
    <w:link w:val="673"/>
    <w:uiPriority w:val="99"/>
  </w:style>
  <w:style w:type="paragraph" w:styleId="46">
    <w:name w:val="Caption"/>
    <w:basedOn w:val="663"/>
    <w:next w:val="66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73"/>
    <w:uiPriority w:val="99"/>
  </w:style>
  <w:style w:type="table" w:styleId="49">
    <w:name w:val="Table Grid Light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6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64"/>
    <w:uiPriority w:val="99"/>
    <w:unhideWhenUsed/>
    <w:rPr>
      <w:vertAlign w:val="superscript"/>
    </w:rPr>
  </w:style>
  <w:style w:type="paragraph" w:styleId="178">
    <w:name w:val="endnote text"/>
    <w:basedOn w:val="66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4"/>
    <w:uiPriority w:val="99"/>
    <w:semiHidden/>
    <w:unhideWhenUsed/>
    <w:rPr>
      <w:vertAlign w:val="superscript"/>
    </w:rPr>
  </w:style>
  <w:style w:type="paragraph" w:styleId="181">
    <w:name w:val="toc 1"/>
    <w:basedOn w:val="663"/>
    <w:next w:val="66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63"/>
    <w:next w:val="66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63"/>
    <w:next w:val="66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63"/>
    <w:next w:val="66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63"/>
    <w:next w:val="66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63"/>
    <w:next w:val="66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63"/>
    <w:next w:val="66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63"/>
    <w:next w:val="66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63"/>
    <w:next w:val="66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63"/>
    <w:next w:val="663"/>
    <w:uiPriority w:val="99"/>
    <w:unhideWhenUsed/>
    <w:pPr>
      <w:spacing w:after="0" w:afterAutospacing="0"/>
    </w:pPr>
  </w:style>
  <w:style w:type="paragraph" w:styleId="663" w:default="1">
    <w:name w:val="Normal"/>
    <w:qFormat/>
    <w:rPr>
      <w:lang w:val="uk-UA"/>
    </w:rPr>
  </w:style>
  <w:style w:type="character" w:styleId="664" w:default="1">
    <w:name w:val="Default Paragraph Font"/>
    <w:uiPriority w:val="1"/>
    <w:semiHidden/>
    <w:unhideWhenUsed/>
  </w:style>
  <w:style w:type="table" w:styleId="66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6" w:default="1">
    <w:name w:val="No List"/>
    <w:uiPriority w:val="99"/>
    <w:semiHidden/>
    <w:unhideWhenUsed/>
  </w:style>
  <w:style w:type="paragraph" w:styleId="667">
    <w:name w:val="List Paragraph"/>
    <w:basedOn w:val="663"/>
    <w:link w:val="668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Calibri"/>
      <w:lang w:val="ru-RU" w:eastAsia="zh-CN"/>
    </w:rPr>
  </w:style>
  <w:style w:type="character" w:styleId="668" w:customStyle="1">
    <w:name w:val="Абзац списку Знак"/>
    <w:link w:val="667"/>
    <w:uiPriority w:val="34"/>
    <w:rPr>
      <w:rFonts w:ascii="Calibri" w:hAnsi="Calibri" w:eastAsia="Calibri" w:cs="Calibri"/>
      <w:lang w:eastAsia="zh-CN"/>
    </w:rPr>
  </w:style>
  <w:style w:type="table" w:styleId="669">
    <w:name w:val="Table Grid"/>
    <w:basedOn w:val="665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70" w:customStyle="1">
    <w:name w:val="Сетка таблицы2"/>
    <w:basedOn w:val="665"/>
    <w:next w:val="669"/>
    <w:uiPriority w:val="39"/>
    <w:pPr>
      <w:spacing w:after="0" w:line="240" w:lineRule="auto"/>
    </w:pPr>
    <w:rPr>
      <w:rFonts w:ascii="Times New Roman" w:hAnsi="Times New Roman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71">
    <w:name w:val="Normal (Web)"/>
    <w:basedOn w:val="663"/>
    <w:unhideWhenUsed/>
    <w:rPr>
      <w:rFonts w:ascii="Times New Roman" w:hAnsi="Times New Roman" w:cs="Times New Roman"/>
      <w:sz w:val="24"/>
      <w:szCs w:val="24"/>
    </w:rPr>
  </w:style>
  <w:style w:type="table" w:styleId="672" w:customStyle="1">
    <w:name w:val="Сетка таблицы1"/>
    <w:basedOn w:val="665"/>
    <w:next w:val="669"/>
    <w:uiPriority w:val="39"/>
    <w:pPr>
      <w:spacing w:after="0" w:line="240" w:lineRule="auto"/>
    </w:pPr>
    <w:rPr>
      <w:rFonts w:ascii="Times New Roman" w:hAnsi="Times New Roman"/>
      <w:sz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73">
    <w:name w:val="Footer"/>
    <w:basedOn w:val="663"/>
    <w:link w:val="674"/>
    <w:uiPriority w:val="99"/>
    <w:unhideWhenUsed/>
    <w:pPr>
      <w:spacing w:after="0" w:line="240" w:lineRule="auto"/>
      <w:tabs>
        <w:tab w:val="center" w:pos="4819" w:leader="none"/>
        <w:tab w:val="right" w:pos="9639" w:leader="none"/>
      </w:tabs>
    </w:pPr>
    <w:rPr>
      <w:rFonts w:ascii="Calibri" w:hAnsi="Calibri" w:eastAsia="Calibri" w:cs="Calibri"/>
      <w:lang w:val="ru-RU" w:eastAsia="zh-CN"/>
    </w:rPr>
  </w:style>
  <w:style w:type="character" w:styleId="674" w:customStyle="1">
    <w:name w:val="Нижній колонтитул Знак"/>
    <w:basedOn w:val="664"/>
    <w:link w:val="673"/>
    <w:uiPriority w:val="99"/>
    <w:rPr>
      <w:rFonts w:ascii="Calibri" w:hAnsi="Calibri" w:eastAsia="Calibri" w:cs="Calibri"/>
      <w:lang w:eastAsia="zh-CN"/>
    </w:rPr>
  </w:style>
  <w:style w:type="paragraph" w:styleId="675" w:customStyle="1">
    <w:name w:val="FR1"/>
    <w:pPr>
      <w:ind w:left="40"/>
      <w:jc w:val="both"/>
      <w:spacing w:after="0" w:line="240" w:lineRule="auto"/>
      <w:widowControl w:val="off"/>
    </w:pPr>
    <w:rPr>
      <w:rFonts w:ascii="Calibri" w:hAnsi="Calibri" w:eastAsia="Calibri" w:cs="Times New Roman"/>
      <w:sz w:val="20"/>
      <w:szCs w:val="20"/>
      <w:lang w:val="uk-UA"/>
    </w:rPr>
  </w:style>
  <w:style w:type="character" w:styleId="676">
    <w:name w:val="Hyperlink"/>
    <w:basedOn w:val="664"/>
    <w:uiPriority w:val="99"/>
    <w:unhideWhenUsed/>
    <w:rPr>
      <w:color w:val="0563c1" w:themeColor="hyperlink"/>
      <w:u w:val="single"/>
    </w:rPr>
  </w:style>
  <w:style w:type="character" w:styleId="677" w:customStyle="1">
    <w:name w:val="xfm_93972720"/>
    <w:basedOn w:val="664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C65B9-6C17-4B00-95F1-8E64DA36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ONLYOFFICE/7.3.3.49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ВЮС 2</dc:creator>
  <cp:keywords/>
  <dc:description/>
  <cp:lastModifiedBy>Павріанідіс Аліса Віталіївна</cp:lastModifiedBy>
  <cp:revision>44</cp:revision>
  <dcterms:created xsi:type="dcterms:W3CDTF">2022-11-01T12:47:00Z</dcterms:created>
  <dcterms:modified xsi:type="dcterms:W3CDTF">2023-04-11T11:40:05Z</dcterms:modified>
</cp:coreProperties>
</file>