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Закупівля комплектів миша та клавіатура за ДК 021:2015: 30230000-0 Комп’ютерне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008542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bCs/>
          <w:sz w:val="24"/>
          <w:szCs w:val="24"/>
        </w:rPr>
        <w:t xml:space="preserve">Закупівля комплектів миша та клавіатура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6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1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Комплект клавіатура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KB-216 та миша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MS116 USB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b/>
              </w:rPr>
              <w:t xml:space="preserve">30</w:t>
            </w:r>
            <w:r/>
          </w:p>
        </w:tc>
      </w:tr>
    </w:tbl>
    <w:p>
      <w:pPr>
        <w:pStyle w:val="67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7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6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6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69"/>
        <w:tblW w:w="9634" w:type="dxa"/>
        <w:tblLook w:val="04A0" w:firstRow="1" w:lastRow="0" w:firstColumn="1" w:lastColumn="0" w:noHBand="0" w:noVBand="1"/>
      </w:tblPr>
      <w:tblGrid>
        <w:gridCol w:w="456"/>
        <w:gridCol w:w="6564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клавіатура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KB-216 та миша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MS116 USB,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клавіатури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Мембранні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дротова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USB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Формат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Класичні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клавішне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Function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Volume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mute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play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pause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backward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forward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503 г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Габарити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xШxГ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)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24.4 x 442 x 127 мм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місяців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Призначення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для ноутбука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настільний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комп'ютер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дротове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USB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сенсора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оптична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Довжина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проводу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1.8 м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Особливості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кнопок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2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прокрутки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1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pStyle w:val="68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413 г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 не менше 6 місяців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29 910,00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десять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character" w:styleId="45">
    <w:name w:val="Footer Char"/>
    <w:basedOn w:val="664"/>
    <w:link w:val="673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lang w:val="uk-UA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List Paragraph"/>
    <w:basedOn w:val="663"/>
    <w:link w:val="66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8" w:customStyle="1">
    <w:name w:val="Абзац списку Знак"/>
    <w:link w:val="667"/>
    <w:uiPriority w:val="34"/>
    <w:rPr>
      <w:rFonts w:ascii="Calibri" w:hAnsi="Calibri" w:eastAsia="Calibri" w:cs="Calibri"/>
      <w:lang w:eastAsia="zh-CN"/>
    </w:rPr>
  </w:style>
  <w:style w:type="table" w:styleId="669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0" w:customStyle="1">
    <w:name w:val="Сетка таблицы2"/>
    <w:basedOn w:val="665"/>
    <w:next w:val="66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Normal (Web)"/>
    <w:basedOn w:val="663"/>
    <w:link w:val="678"/>
    <w:unhideWhenUsed/>
    <w:qFormat/>
    <w:rPr>
      <w:rFonts w:ascii="Times New Roman" w:hAnsi="Times New Roman" w:cs="Times New Roman"/>
      <w:sz w:val="24"/>
      <w:szCs w:val="24"/>
    </w:rPr>
  </w:style>
  <w:style w:type="table" w:styleId="672" w:customStyle="1">
    <w:name w:val="Сетка таблицы1"/>
    <w:basedOn w:val="665"/>
    <w:next w:val="66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Footer"/>
    <w:basedOn w:val="663"/>
    <w:link w:val="67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4" w:customStyle="1">
    <w:name w:val="Нижній колонтитул Знак"/>
    <w:basedOn w:val="664"/>
    <w:link w:val="673"/>
    <w:uiPriority w:val="99"/>
    <w:rPr>
      <w:rFonts w:ascii="Calibri" w:hAnsi="Calibri" w:eastAsia="Calibri" w:cs="Calibri"/>
      <w:lang w:eastAsia="zh-CN"/>
    </w:rPr>
  </w:style>
  <w:style w:type="paragraph" w:styleId="67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6">
    <w:name w:val="Hyperlink"/>
    <w:basedOn w:val="664"/>
    <w:uiPriority w:val="99"/>
    <w:unhideWhenUsed/>
    <w:rPr>
      <w:color w:val="0563c1" w:themeColor="hyperlink"/>
      <w:u w:val="single"/>
    </w:rPr>
  </w:style>
  <w:style w:type="character" w:styleId="677" w:customStyle="1">
    <w:name w:val="xfm_93972720"/>
    <w:basedOn w:val="664"/>
  </w:style>
  <w:style w:type="character" w:styleId="678" w:customStyle="1">
    <w:name w:val="Звичайний (веб) Знак"/>
    <w:link w:val="671"/>
    <w:qFormat/>
    <w:rPr>
      <w:rFonts w:ascii="Times New Roman" w:hAnsi="Times New Roman" w:cs="Times New Roman"/>
      <w:sz w:val="24"/>
      <w:szCs w:val="24"/>
      <w:lang w:val="uk-UA"/>
    </w:rPr>
  </w:style>
  <w:style w:type="character" w:styleId="679" w:customStyle="1">
    <w:name w:val="Другое_"/>
    <w:basedOn w:val="664"/>
    <w:link w:val="680"/>
    <w:rPr>
      <w:rFonts w:ascii="Calibri" w:hAnsi="Calibri" w:eastAsia="Calibri" w:cs="Calibri"/>
      <w:sz w:val="20"/>
      <w:szCs w:val="20"/>
    </w:rPr>
  </w:style>
  <w:style w:type="paragraph" w:styleId="680" w:customStyle="1">
    <w:name w:val="Другое"/>
    <w:basedOn w:val="663"/>
    <w:link w:val="67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45</cp:revision>
  <dcterms:created xsi:type="dcterms:W3CDTF">2022-11-01T12:47:00Z</dcterms:created>
  <dcterms:modified xsi:type="dcterms:W3CDTF">2023-04-27T07:17:25Z</dcterms:modified>
</cp:coreProperties>
</file>