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Послуга з проведення випробувань інформаційних ресурсів та ІТС на вразливості за ДК 021:2015: 72810000-1 «Послуги з комп’ютерного аудиту»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007627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Послуга з проведення випробувань інформаційних ресурсів та ІТС на вразливості за ДК 021:2015: 72810000-1 «Послуги з комп’ютерного аудиту»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bookmarkEnd w:id="0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 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14"/>
        <w:tblW w:w="9634" w:type="dxa"/>
        <w:tblLook w:val="04A0" w:firstRow="1" w:lastRow="0" w:firstColumn="1" w:lastColumn="0" w:noHBand="0" w:noVBand="1"/>
      </w:tblPr>
      <w:tblGrid>
        <w:gridCol w:w="918"/>
        <w:gridCol w:w="5429"/>
        <w:gridCol w:w="1639"/>
        <w:gridCol w:w="1648"/>
      </w:tblGrid>
      <w:tr>
        <w:trPr/>
        <w:tc>
          <w:tcPr>
            <w:tcW w:w="918" w:type="dxa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/>
          </w:p>
        </w:tc>
        <w:tc>
          <w:tcPr>
            <w:tcW w:w="5429" w:type="dxa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648" w:type="dxa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429" w:type="dxa"/>
            <w:textDirection w:val="lrTb"/>
            <w:noWrap w:val="false"/>
          </w:tcPr>
          <w:p>
            <w:pPr>
              <w:pStyle w:val="71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Послуга з проведення випробувань інформаційних ресурсів та ІТС на вразливості</w:t>
            </w:r>
            <w:r/>
          </w:p>
        </w:tc>
        <w:tc>
          <w:tcPr>
            <w:tcW w:w="1639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</w:pPr>
            <w:r>
              <w:rPr>
                <w:b/>
                <w:bCs/>
              </w:rPr>
              <w:t xml:space="preserve">посл.</w:t>
            </w:r>
            <w:r/>
          </w:p>
        </w:tc>
        <w:tc>
          <w:tcPr>
            <w:tcW w:w="1648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</w:tr>
    </w:tbl>
    <w:p>
      <w:pPr>
        <w:pStyle w:val="71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1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</w:t>
      </w:r>
      <w:r>
        <w:rPr>
          <w:b/>
          <w:bCs/>
          <w:i/>
          <w:iCs/>
          <w:lang w:eastAsia="ru-RU"/>
        </w:rPr>
        <w:t xml:space="preserve">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</w:t>
      </w:r>
      <w:r>
        <w:rPr>
          <w:b/>
          <w:bCs/>
          <w:i/>
          <w:iCs/>
          <w:lang w:eastAsia="ru-RU"/>
        </w:rPr>
        <w:t xml:space="preserve">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Технічне завдання до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«Послуг з проведення випробувань інформаційних ресурсів та ІТС на вразливості»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І. Завдання до виконання: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в рамках надання Послуг з проведення випробувань інформаційних ресурсів та ІТС на вразливості повинен забезпечити виконання наступних завдань: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Надати послугу щодо проведення випробувань інформаційних ресурсів та ІТС на вразливості.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1" w:name="_heading=h.gjdgxs"/>
      <w:r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Термін надання послуг:</w:t>
      </w:r>
      <w:r>
        <w:rPr>
          <w:rFonts w:ascii="Times New Roman" w:hAnsi="Times New Roman" w:cs="Times New Roman"/>
          <w:sz w:val="24"/>
          <w:szCs w:val="24"/>
        </w:rPr>
        <w:t xml:space="preserve"> до 31.12.2023 з дня підписання Договору.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Вимоги до послуг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Вимоги до послуг щодо проведення випробувань інформаційних ресурсів на вразливості.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Завдання: </w:t>
      </w:r>
      <w:r>
        <w:rPr>
          <w:rFonts w:ascii="Times New Roman" w:hAnsi="Times New Roman" w:cs="Times New Roman"/>
          <w:sz w:val="24"/>
          <w:szCs w:val="24"/>
        </w:rPr>
        <w:t xml:space="preserve">Пошук вразливостей інформаційних систем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Об’єкти аналізу: </w:t>
      </w:r>
      <w:r>
        <w:rPr>
          <w:rFonts w:ascii="Times New Roman" w:hAnsi="Times New Roman" w:cs="Times New Roman"/>
          <w:sz w:val="24"/>
          <w:szCs w:val="24"/>
        </w:rPr>
        <w:t xml:space="preserve">дані про об'єкти визначаються Замовником самостійно та надаються Виконавцеві.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Кількість об’єктів аналізу: </w:t>
      </w:r>
      <w:r/>
    </w:p>
    <w:p>
      <w:pPr>
        <w:numPr>
          <w:ilvl w:val="0"/>
          <w:numId w:val="3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до 8 доменних імен та зовнішніх ІР адрес (веб-додатків, серверів);</w:t>
      </w:r>
      <w:r/>
    </w:p>
    <w:p>
      <w:pPr>
        <w:numPr>
          <w:ilvl w:val="0"/>
          <w:numId w:val="3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до 250 внутрішніх IP-адрес (хостів).</w:t>
      </w:r>
      <w:r/>
    </w:p>
    <w:p>
      <w:pPr>
        <w:jc w:val="both"/>
        <w:spacing w:after="0" w:line="240" w:lineRule="auto"/>
        <w:tabs>
          <w:tab w:val="left" w:pos="284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Об’єкти аналізу надаються Виконавцю у відповідному запиті.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 аналізу: </w:t>
      </w:r>
      <w:r>
        <w:rPr>
          <w:rFonts w:ascii="Times New Roman" w:hAnsi="Times New Roman" w:cs="Times New Roman"/>
          <w:sz w:val="24"/>
          <w:szCs w:val="24"/>
        </w:rPr>
        <w:t xml:space="preserve">Випробування на</w:t>
      </w:r>
      <w:r>
        <w:rPr>
          <w:rFonts w:ascii="Times New Roman" w:hAnsi="Times New Roman" w:cs="Times New Roman"/>
          <w:sz w:val="24"/>
          <w:szCs w:val="24"/>
        </w:rPr>
        <w:t xml:space="preserve"> проникнення інформаційної системи (тестування на проникнення) здійснюється по зовнішньому та внутрішньому телекомунікаційному каналу за принципом чорного та сірого ящику, тобто може отримувати від Замовника інформацію про конфігурацію об'єктів тестування.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Після проведення випробування Виконавець готує звіт та надає спеціалістам Замовника консультації (роз’яснення) щодо усунення виявлених недоліків.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Періодичність перевірок: </w:t>
      </w:r>
      <w:r>
        <w:rPr>
          <w:rFonts w:ascii="Times New Roman" w:hAnsi="Times New Roman" w:cs="Times New Roman"/>
          <w:sz w:val="24"/>
          <w:szCs w:val="24"/>
        </w:rPr>
        <w:t xml:space="preserve">1 раз по всіх об’єктах аналізу.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надання послуг: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здійсненні аналізу Виконавець може використовувати автоматизовану перевірку та обов’язково ручний пошук і експлуатацію вразливостей.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повинен виконати оцінку можливості отримання несанкціонованого доступу в процесі моделювання атак.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повинен знайти максимальну кількість вразливостей виходячи з наявної інформації, знань та можливостей інструментальних засобів.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проведенні тестування на проникнення Виконавець повинен провести випробування за пр</w:t>
      </w:r>
      <w:r>
        <w:rPr>
          <w:rFonts w:ascii="Times New Roman" w:hAnsi="Times New Roman" w:cs="Times New Roman"/>
          <w:sz w:val="24"/>
          <w:szCs w:val="24"/>
        </w:rPr>
        <w:t xml:space="preserve">инципом чорного ящику, тобто може отримувати від Замовника загальну інформацію щодо доменів та ір-адрес а також сірого ящика коли Виконавець вже знаходиться в локальній мережі Замовника та здійснює дії щодо подальшого проникнення та виявлення вразливостей.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виконанні тестування спеціалісти повинні здійснити наступні кроки: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Збір інформації про інфраструктуру Замовника з відкритих джерел у пасивний та активний спосіб;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Проведення сканування мереж та систем у інфраструктурі Замовника, що включено у перелік цілей для тестування;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Випробування на вразливості знайдених активів та сервісів під час попередніх етапів тестування;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Аналіз результатів випробувань з метою пріоритезації подальшого ходу тестування;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Класифікація вразливостей і вибір неявних вразливостей для перевірки, оцінка вразливостей відповідно до галузевого стандарту CVSS;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Документування вразливостей та збір доказів перевірки;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Аналіз результатів перевірки вразливостей;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Підготовка звіту з тестування з рекомендаціями, щодо усунення знайдених вразливостей та недоліків безпеки в ITC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</w:t>
      </w:r>
      <w:r>
        <w:rPr>
          <w:rFonts w:ascii="Times New Roman" w:hAnsi="Times New Roman" w:cs="Times New Roman"/>
          <w:sz w:val="24"/>
          <w:szCs w:val="24"/>
        </w:rPr>
        <w:t xml:space="preserve">ипадку можливості виходу з ладу або погіршення показників роботи елементів інфраструктури Замовника в результаті виконання випробувань, такі випробування повинні бути припинені до отримання дозволу від Замовника на продовження саме такого виду випробувань.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випадку отримання доступу до конфіденційної інформації в інформаційній системі Замовника, випробування відносно цієї системи повинні бути припинені до отримання дозволу від Замовника на продовження випробувань відносно цієї системи.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до оформлення результатів Послуг: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результатами аналізу Виконавець надає Замовнику звіт за результатами тестування.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Звіт повинен містити наступну інформацію: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Резюме. Стисле викладення результатів випробувань;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Мета тестування. Опис цілей проведення випробувань;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Область дії. Визначення області дії випробувань;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Опис методики. Методики та інструменти, що були використані Виконавцем в ході тесту та його окремих етапів;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Результати випробувань. Детальні результати тестування та рекомендації, які повинні містити наступну інформацію: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назву вразливості;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перелік вразливих систем (сервісів);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статус вразливостей (дійсна/не дійсна/потенційна);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рівень ризику;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опис вразливостей;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дії щодо перевірки вразливості (опис виконаних атак);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докази перевірки;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рекомендації з усунення.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Звіти з тестування повинні бути підготовлені в письмовій формі українською мовою.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Послуги повинні бути надані з урахуванням вимог, які викладені у наступних документах: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ISECOM OSSTMM 3 (Open Source Security Testing Methodology Manual);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OWASP (OWASP Testing Guide v3.0) - індустріальний стандарт;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Penetration Testing Model (BSI);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ISACA IS auditing procedure "P8 Security Assessment - Penetration testing and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vulnerability analysis;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NIST 800-115 (Technical Guide to Information Security Testing and Assessment).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Звіти передаються Замовнику електронними поштовими повідомленнями та/або офіційним листом.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Учасник, якого визначено переможцем процедури закупівлі, перед укладанням договору проводить </w:t>
      </w:r>
      <w:r>
        <w:rPr>
          <w:rFonts w:ascii="Times New Roman" w:hAnsi="Times New Roman" w:cs="Times New Roman"/>
          <w:sz w:val="24"/>
          <w:szCs w:val="24"/>
        </w:rPr>
        <w:t xml:space="preserve">експертизу та/або експертну оцінку та/або незалежну оцінку вартості послуг, за результатом аукціону, вказаних в Додатку 5 до тендерної документації та надає Замовнику документ, що підтверджує вартість вказаних посл</w:t>
      </w:r>
      <w:r>
        <w:rPr>
          <w:rFonts w:ascii="Times New Roman" w:hAnsi="Times New Roman" w:cs="Times New Roman"/>
          <w:sz w:val="24"/>
          <w:szCs w:val="24"/>
        </w:rPr>
        <w:t xml:space="preserve">уг.  У разі надання документу, де вартість послуг буде нижча ніж зазначив Учасник за результатом аукціону, Учасник-Переможець укладає разом із договором додаткову угоду на зменшення вартості послуг (надати у складі тендерної документації гарантійний лист).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1 141 066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сорок одна тисяча шістдесят шість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21"/>
  </w:num>
  <w:num w:numId="5">
    <w:abstractNumId w:val="6"/>
  </w:num>
  <w:num w:numId="6">
    <w:abstractNumId w:val="27"/>
  </w:num>
  <w:num w:numId="7">
    <w:abstractNumId w:val="10"/>
  </w:num>
  <w:num w:numId="8">
    <w:abstractNumId w:val="29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8"/>
  </w:num>
  <w:num w:numId="17">
    <w:abstractNumId w:val="1"/>
  </w:num>
  <w:num w:numId="18">
    <w:abstractNumId w:val="30"/>
  </w:num>
  <w:num w:numId="19">
    <w:abstractNumId w:val="22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3"/>
  </w:num>
  <w:num w:numId="25">
    <w:abstractNumId w:val="16"/>
  </w:num>
  <w:num w:numId="26">
    <w:abstractNumId w:val="19"/>
  </w:num>
  <w:num w:numId="27">
    <w:abstractNumId w:val="24"/>
  </w:num>
  <w:num w:numId="28">
    <w:abstractNumId w:val="17"/>
  </w:num>
  <w:num w:numId="29">
    <w:abstractNumId w:val="25"/>
  </w:num>
  <w:num w:numId="30">
    <w:abstractNumId w:val="14"/>
  </w:num>
  <w:num w:numId="31">
    <w:abstractNumId w:val="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7"/>
    <w:next w:val="70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9"/>
    <w:link w:val="70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7"/>
    <w:next w:val="70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7"/>
    <w:next w:val="70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7"/>
    <w:next w:val="70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7"/>
    <w:next w:val="70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7"/>
    <w:next w:val="70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7"/>
    <w:next w:val="70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7"/>
    <w:next w:val="70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7"/>
    <w:next w:val="70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9"/>
    <w:link w:val="33"/>
    <w:uiPriority w:val="10"/>
    <w:rPr>
      <w:sz w:val="48"/>
      <w:szCs w:val="48"/>
    </w:rPr>
  </w:style>
  <w:style w:type="paragraph" w:styleId="35">
    <w:name w:val="Subtitle"/>
    <w:basedOn w:val="707"/>
    <w:next w:val="70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9"/>
    <w:link w:val="35"/>
    <w:uiPriority w:val="11"/>
    <w:rPr>
      <w:sz w:val="24"/>
      <w:szCs w:val="24"/>
    </w:rPr>
  </w:style>
  <w:style w:type="paragraph" w:styleId="37">
    <w:name w:val="Quote"/>
    <w:basedOn w:val="707"/>
    <w:next w:val="70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7"/>
    <w:next w:val="70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9"/>
    <w:link w:val="41"/>
    <w:uiPriority w:val="99"/>
  </w:style>
  <w:style w:type="character" w:styleId="44">
    <w:name w:val="Footer Char"/>
    <w:basedOn w:val="709"/>
    <w:link w:val="718"/>
    <w:uiPriority w:val="99"/>
  </w:style>
  <w:style w:type="paragraph" w:styleId="45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8"/>
    <w:uiPriority w:val="99"/>
  </w:style>
  <w:style w:type="table" w:styleId="48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9"/>
    <w:uiPriority w:val="99"/>
    <w:unhideWhenUsed/>
    <w:rPr>
      <w:vertAlign w:val="superscript"/>
    </w:rPr>
  </w:style>
  <w:style w:type="paragraph" w:styleId="177">
    <w:name w:val="endnote text"/>
    <w:basedOn w:val="70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9"/>
    <w:uiPriority w:val="99"/>
    <w:semiHidden/>
    <w:unhideWhenUsed/>
    <w:rPr>
      <w:vertAlign w:val="superscript"/>
    </w:rPr>
  </w:style>
  <w:style w:type="paragraph" w:styleId="180">
    <w:name w:val="toc 1"/>
    <w:basedOn w:val="707"/>
    <w:next w:val="70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7"/>
    <w:next w:val="70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7"/>
    <w:next w:val="70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7"/>
    <w:next w:val="70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7"/>
    <w:next w:val="70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7"/>
    <w:next w:val="70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7"/>
    <w:next w:val="70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7"/>
    <w:next w:val="70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7"/>
    <w:next w:val="70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7"/>
    <w:next w:val="707"/>
    <w:uiPriority w:val="99"/>
    <w:unhideWhenUsed/>
    <w:pPr>
      <w:spacing w:after="0" w:afterAutospacing="0"/>
    </w:pPr>
  </w:style>
  <w:style w:type="paragraph" w:styleId="707" w:default="1">
    <w:name w:val="Normal"/>
    <w:qFormat/>
    <w:rPr>
      <w:lang w:val="uk-UA"/>
    </w:rPr>
  </w:style>
  <w:style w:type="paragraph" w:styleId="708">
    <w:name w:val="Heading 2"/>
    <w:basedOn w:val="707"/>
    <w:link w:val="72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paragraph" w:styleId="712">
    <w:name w:val="List Paragraph"/>
    <w:basedOn w:val="707"/>
    <w:link w:val="71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3" w:customStyle="1">
    <w:name w:val="Абзац списку Знак"/>
    <w:link w:val="712"/>
    <w:uiPriority w:val="34"/>
    <w:qFormat/>
    <w:rPr>
      <w:rFonts w:ascii="Calibri" w:hAnsi="Calibri" w:eastAsia="Calibri" w:cs="Calibri"/>
      <w:lang w:eastAsia="zh-CN"/>
    </w:rPr>
  </w:style>
  <w:style w:type="table" w:styleId="714">
    <w:name w:val="Table Grid"/>
    <w:basedOn w:val="71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5" w:customStyle="1">
    <w:name w:val="Сетка таблицы2"/>
    <w:basedOn w:val="710"/>
    <w:next w:val="71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Normal (Web)"/>
    <w:basedOn w:val="707"/>
    <w:link w:val="723"/>
    <w:unhideWhenUsed/>
    <w:qFormat/>
    <w:rPr>
      <w:rFonts w:ascii="Times New Roman" w:hAnsi="Times New Roman" w:cs="Times New Roman"/>
      <w:sz w:val="24"/>
      <w:szCs w:val="24"/>
    </w:rPr>
  </w:style>
  <w:style w:type="table" w:styleId="717" w:customStyle="1">
    <w:name w:val="Сетка таблицы1"/>
    <w:basedOn w:val="710"/>
    <w:next w:val="71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Footer"/>
    <w:basedOn w:val="707"/>
    <w:link w:val="71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9" w:customStyle="1">
    <w:name w:val="Нижній колонтитул Знак"/>
    <w:basedOn w:val="709"/>
    <w:link w:val="718"/>
    <w:uiPriority w:val="99"/>
    <w:rPr>
      <w:rFonts w:ascii="Calibri" w:hAnsi="Calibri" w:eastAsia="Calibri" w:cs="Calibri"/>
      <w:lang w:eastAsia="zh-CN"/>
    </w:rPr>
  </w:style>
  <w:style w:type="paragraph" w:styleId="72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1">
    <w:name w:val="Hyperlink"/>
    <w:basedOn w:val="709"/>
    <w:uiPriority w:val="99"/>
    <w:unhideWhenUsed/>
    <w:rPr>
      <w:color w:val="0563c1" w:themeColor="hyperlink"/>
      <w:u w:val="single"/>
    </w:rPr>
  </w:style>
  <w:style w:type="character" w:styleId="722" w:customStyle="1">
    <w:name w:val="xfm_93972720"/>
    <w:basedOn w:val="709"/>
  </w:style>
  <w:style w:type="character" w:styleId="723" w:customStyle="1">
    <w:name w:val="Звичайний (веб) Знак"/>
    <w:link w:val="716"/>
    <w:qFormat/>
    <w:rPr>
      <w:rFonts w:ascii="Times New Roman" w:hAnsi="Times New Roman" w:cs="Times New Roman"/>
      <w:sz w:val="24"/>
      <w:szCs w:val="24"/>
      <w:lang w:val="uk-UA"/>
    </w:rPr>
  </w:style>
  <w:style w:type="paragraph" w:styleId="724">
    <w:name w:val="Body Text 2"/>
    <w:basedOn w:val="707"/>
    <w:link w:val="72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5" w:customStyle="1">
    <w:name w:val="Основний текст 2 Знак"/>
    <w:basedOn w:val="709"/>
    <w:link w:val="72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7" w:customStyle="1">
    <w:name w:val="Заголовок 2 Знак"/>
    <w:basedOn w:val="709"/>
    <w:link w:val="70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8">
    <w:name w:val="No Spacing"/>
    <w:link w:val="72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9" w:customStyle="1">
    <w:name w:val="Без інтервалів Знак"/>
    <w:basedOn w:val="709"/>
    <w:link w:val="728"/>
    <w:uiPriority w:val="1"/>
    <w:rPr>
      <w:rFonts w:ascii="Calibri" w:hAnsi="Calibri" w:eastAsia="Calibri" w:cs="Times New Roman"/>
      <w:lang w:val="uk-UA"/>
    </w:rPr>
  </w:style>
  <w:style w:type="character" w:styleId="730" w:customStyle="1">
    <w:name w:val="Другое_"/>
    <w:basedOn w:val="709"/>
    <w:link w:val="731"/>
    <w:rPr>
      <w:rFonts w:ascii="Calibri" w:hAnsi="Calibri" w:eastAsia="Calibri" w:cs="Calibri"/>
      <w:sz w:val="20"/>
      <w:szCs w:val="20"/>
    </w:rPr>
  </w:style>
  <w:style w:type="paragraph" w:styleId="731" w:customStyle="1">
    <w:name w:val="Другое"/>
    <w:basedOn w:val="707"/>
    <w:link w:val="73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3" w:customStyle="1">
    <w:name w:val="Основной текст (2)_"/>
    <w:basedOn w:val="709"/>
    <w:link w:val="734"/>
    <w:rPr>
      <w:rFonts w:eastAsia="Times New Roman" w:cs="Times New Roman"/>
      <w:shd w:val="clear" w:color="auto" w:fill="ffffff"/>
    </w:rPr>
  </w:style>
  <w:style w:type="paragraph" w:styleId="734" w:customStyle="1">
    <w:name w:val="Основной текст (2)"/>
    <w:basedOn w:val="707"/>
    <w:link w:val="73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5" w:customStyle="1">
    <w:name w:val="Текст у виносці Знак"/>
    <w:basedOn w:val="709"/>
    <w:link w:val="73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6">
    <w:name w:val="Balloon Text"/>
    <w:basedOn w:val="707"/>
    <w:link w:val="73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7" w:customStyle="1">
    <w:name w:val="Текст у виносці Знак1"/>
    <w:basedOn w:val="70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8" w:customStyle="1">
    <w:name w:val="T23"/>
    <w:rPr>
      <w:rFonts w:hint="default" w:ascii="Times New Roman" w:hAnsi="Times New Roman" w:eastAsia="Times New Roman1" w:cs="Times New Roman"/>
    </w:rPr>
  </w:style>
  <w:style w:type="paragraph" w:styleId="739" w:customStyle="1">
    <w:name w:val="Абзац списку1"/>
    <w:basedOn w:val="70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0" w:customStyle="1">
    <w:name w:val="markedcontent"/>
    <w:basedOn w:val="709"/>
  </w:style>
  <w:style w:type="paragraph" w:styleId="741">
    <w:name w:val="annotation text"/>
    <w:basedOn w:val="707"/>
    <w:link w:val="742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2" w:customStyle="1">
    <w:name w:val="Текст примітки Знак"/>
    <w:basedOn w:val="709"/>
    <w:link w:val="74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2023-11-28T09:25:09Z</dcterms:modified>
</cp:coreProperties>
</file>