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spacing w:after="0" w:line="240" w:lineRule="auto"/>
        <w:widowControl w:val="off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ОБҐРУНТУВАННЯ ТЕХНІЧНИХ ТА ЯКІСНИХ ХАРАКТЕРИСТИК ПРЕДМЕТА ЗАКУПІВЛІ, РОЗМІРУ БЮДЖЕТНОГО ПРИЗНАЧЕННЯ, ОЧІКУВАНОЇ ВАРТОСТІ ПРЕДМЕТА ЗАКУПІВЛІ</w:t>
      </w:r>
      <w:r/>
    </w:p>
    <w:p>
      <w:pPr>
        <w:jc w:val="center"/>
        <w:spacing w:after="0" w:line="240" w:lineRule="auto"/>
        <w:widowControl w:val="off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</w:r>
      <w:r/>
    </w:p>
    <w:p>
      <w:pPr>
        <w:jc w:val="center"/>
        <w:spacing w:after="0" w:line="240" w:lineRule="auto"/>
        <w:widowControl w:val="o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(відповідно до пункту 4</w:t>
      </w: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1</w:t>
      </w:r>
      <w:r>
        <w:rPr>
          <w:rFonts w:ascii="Times New Roman" w:hAnsi="Times New Roman" w:cs="Times New Roman"/>
          <w:sz w:val="24"/>
          <w:szCs w:val="24"/>
        </w:rPr>
        <w:t xml:space="preserve"> постанови КМУ від 11.10.2016 № 710 «Про ефективне використання державних коштів» (зі змінами))</w:t>
      </w:r>
      <w:r/>
    </w:p>
    <w:p>
      <w:pPr>
        <w:jc w:val="center"/>
        <w:spacing w:after="0" w:line="240" w:lineRule="auto"/>
        <w:widowControl w:val="o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both"/>
        <w:spacing w:after="0" w:line="240" w:lineRule="auto"/>
        <w:widowControl w:val="o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1. Найменування, місцезнаходження та ідентифікаційний код замовника в Єдиному державному реєстрі юридичних осіб, фізичних осіб-підприємців та громадських формувань, його категорія: </w:t>
      </w:r>
      <w:r>
        <w:rPr>
          <w:rFonts w:ascii="Times New Roman" w:hAnsi="Times New Roman" w:cs="Times New Roman"/>
          <w:sz w:val="24"/>
          <w:szCs w:val="24"/>
        </w:rPr>
        <w:t xml:space="preserve">ДЕРЖАВНА УСТАНОВА "ЦЕНТР ІНФРАСТРУКТУРИ ТА ТЕХНОЛОГІЙ МІНІСТЕРСТВА ВНУТРІШНІХ СПРАВ УКРАЇНИ"; 03151, Україна, м. Київ, вул. Володимира </w:t>
      </w:r>
      <w:r>
        <w:rPr>
          <w:rFonts w:ascii="Times New Roman" w:hAnsi="Times New Roman" w:cs="Times New Roman"/>
          <w:sz w:val="24"/>
          <w:szCs w:val="24"/>
        </w:rPr>
        <w:t xml:space="preserve">Сікевича</w:t>
      </w:r>
      <w:r>
        <w:rPr>
          <w:rFonts w:ascii="Times New Roman" w:hAnsi="Times New Roman" w:cs="Times New Roman"/>
          <w:sz w:val="24"/>
          <w:szCs w:val="24"/>
        </w:rPr>
        <w:t xml:space="preserve">, 28; категорія замовника – бюджетна неприбуткова установа. </w:t>
      </w:r>
      <w:r/>
    </w:p>
    <w:p>
      <w:pPr>
        <w:jc w:val="both"/>
        <w:spacing w:after="0" w:line="240" w:lineRule="auto"/>
        <w:widowControl w:val="off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</w:r>
      <w:r/>
    </w:p>
    <w:p>
      <w:pPr>
        <w:pStyle w:val="683"/>
        <w:jc w:val="both"/>
        <w:spacing w:before="0" w:beforeAutospacing="0" w:after="0" w:afterAutospacing="0"/>
        <w:shd w:val="clear" w:color="auto" w:fill="ffffff" w:themeFill="background1"/>
        <w:rPr>
          <w:color w:val="585858"/>
          <w:sz w:val="28"/>
          <w:szCs w:val="28"/>
        </w:rPr>
      </w:pPr>
      <w:r>
        <w:rPr>
          <w:sz w:val="24"/>
          <w:szCs w:val="24"/>
        </w:rPr>
        <w:t xml:space="preserve">2</w:t>
      </w:r>
      <w:r>
        <w:rPr>
          <w:sz w:val="24"/>
          <w:szCs w:val="24"/>
        </w:rPr>
        <w:t xml:space="preserve">. Назва предм</w:t>
      </w:r>
      <w:r>
        <w:rPr>
          <w:sz w:val="24"/>
          <w:szCs w:val="24"/>
        </w:rPr>
        <w:t xml:space="preserve">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і частин предмета закупівлі (лотів) (за наявності): </w:t>
      </w:r>
      <w:r>
        <w:rPr>
          <w:b w:val="0"/>
          <w:bCs w:val="0"/>
          <w:sz w:val="24"/>
          <w:szCs w:val="24"/>
        </w:rPr>
        <w:t xml:space="preserve"> </w:t>
      </w:r>
      <w:r>
        <w:rPr>
          <w:b w:val="0"/>
          <w:bCs w:val="0"/>
          <w:sz w:val="24"/>
          <w:szCs w:val="24"/>
          <w:lang w:eastAsia="ru-RU"/>
        </w:rPr>
        <w:t xml:space="preserve">Закупівля системи портативних моніторів </w:t>
      </w:r>
      <w:r>
        <w:rPr>
          <w:b w:val="0"/>
          <w:bCs w:val="0"/>
          <w:sz w:val="24"/>
          <w:szCs w:val="24"/>
          <w:lang w:eastAsia="ru-RU"/>
        </w:rPr>
        <w:t xml:space="preserve">Asus</w:t>
      </w:r>
      <w:r>
        <w:rPr>
          <w:b w:val="0"/>
          <w:bCs w:val="0"/>
          <w:sz w:val="24"/>
          <w:szCs w:val="24"/>
          <w:lang w:eastAsia="ru-RU"/>
        </w:rPr>
        <w:t xml:space="preserve"> </w:t>
      </w:r>
      <w:r>
        <w:rPr>
          <w:b w:val="0"/>
          <w:bCs w:val="0"/>
          <w:sz w:val="24"/>
          <w:szCs w:val="24"/>
          <w:lang w:eastAsia="ru-RU"/>
        </w:rPr>
        <w:t xml:space="preserve">ZenScreen</w:t>
      </w:r>
      <w:r>
        <w:rPr>
          <w:b w:val="0"/>
          <w:bCs w:val="0"/>
          <w:sz w:val="24"/>
          <w:szCs w:val="24"/>
          <w:lang w:eastAsia="ru-RU"/>
        </w:rPr>
        <w:t xml:space="preserve"> GO MB16AHP та засобів комутації до них зі встановленням </w:t>
      </w:r>
      <w:bookmarkStart w:id="0" w:name="_Hlk138430683"/>
      <w:r>
        <w:rPr>
          <w:b w:val="0"/>
          <w:bCs w:val="0"/>
          <w:sz w:val="24"/>
          <w:szCs w:val="24"/>
          <w:lang w:eastAsia="ru-RU"/>
        </w:rPr>
        <w:t xml:space="preserve">(дообладнання системи конференції)</w:t>
      </w:r>
      <w:bookmarkEnd w:id="0"/>
      <w:r>
        <w:rPr>
          <w:b w:val="0"/>
          <w:bCs w:val="0"/>
          <w:sz w:val="24"/>
          <w:szCs w:val="24"/>
          <w:lang w:eastAsia="ru-RU"/>
        </w:rPr>
        <w:t xml:space="preserve"> за ДК 021:2015: 32230000-4 Апаратура для передавання радіосигналу з приймальним пристроєм</w:t>
      </w:r>
      <w:r/>
    </w:p>
    <w:p>
      <w:pPr>
        <w:jc w:val="both"/>
        <w:spacing w:after="0" w:line="240" w:lineRule="auto"/>
        <w:widowControl w:val="o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both"/>
        <w:spacing w:after="0" w:line="240" w:lineRule="auto"/>
        <w:widowControl w:val="o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3. Ідентифікатор закупівлі: — </w:t>
      </w:r>
      <w:r>
        <w:rPr>
          <w:rFonts w:ascii="Times New Roman" w:hAnsi="Times New Roman" w:cs="Times New Roman"/>
          <w:sz w:val="24"/>
          <w:szCs w:val="24"/>
        </w:rPr>
        <w:t xml:space="preserve">UA-2023-0</w:t>
      </w:r>
      <w:r>
        <w:rPr>
          <w:rFonts w:ascii="Times New Roman" w:hAnsi="Times New Roman" w:cs="Times New Roman"/>
          <w:sz w:val="24"/>
          <w:szCs w:val="24"/>
        </w:rPr>
        <w:t xml:space="preserve">6</w:t>
      </w:r>
      <w:r>
        <w:rPr>
          <w:rFonts w:ascii="Times New Roman" w:hAnsi="Times New Roman" w:cs="Times New Roman"/>
          <w:sz w:val="24"/>
          <w:szCs w:val="24"/>
        </w:rPr>
        <w:t xml:space="preserve">-</w:t>
      </w:r>
      <w:r>
        <w:rPr>
          <w:rFonts w:ascii="Times New Roman" w:hAnsi="Times New Roman" w:cs="Times New Roman"/>
          <w:sz w:val="24"/>
          <w:szCs w:val="24"/>
        </w:rPr>
        <w:t xml:space="preserve">2</w:t>
      </w:r>
      <w:r>
        <w:rPr>
          <w:rFonts w:ascii="Times New Roman" w:hAnsi="Times New Roman" w:cs="Times New Roman"/>
          <w:sz w:val="24"/>
          <w:szCs w:val="24"/>
        </w:rPr>
        <w:t xml:space="preserve">3</w:t>
      </w:r>
      <w:r>
        <w:rPr>
          <w:rFonts w:ascii="Times New Roman" w:hAnsi="Times New Roman" w:cs="Times New Roman"/>
          <w:sz w:val="24"/>
          <w:szCs w:val="24"/>
        </w:rPr>
        <w:t xml:space="preserve">-</w:t>
      </w:r>
      <w:r>
        <w:rPr>
          <w:rFonts w:ascii="Times New Roman" w:hAnsi="Times New Roman" w:cs="Times New Roman"/>
          <w:sz w:val="24"/>
          <w:szCs w:val="24"/>
        </w:rPr>
        <w:t xml:space="preserve">012280</w:t>
      </w:r>
      <w:r>
        <w:rPr>
          <w:rFonts w:ascii="Times New Roman" w:hAnsi="Times New Roman" w:cs="Times New Roman"/>
          <w:sz w:val="24"/>
          <w:szCs w:val="24"/>
        </w:rPr>
        <w:t xml:space="preserve">-а</w:t>
      </w:r>
      <w:r/>
    </w:p>
    <w:p>
      <w:pPr>
        <w:jc w:val="both"/>
        <w:spacing w:after="0" w:line="240" w:lineRule="auto"/>
        <w:widowControl w:val="o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b/>
          <w:sz w:val="24"/>
          <w:lang w:eastAsia="ru-RU"/>
        </w:rPr>
        <w:t xml:space="preserve">4. Обґрунтування технічних та якісних </w:t>
      </w:r>
      <w:r>
        <w:rPr>
          <w:rFonts w:ascii="Times New Roman" w:hAnsi="Times New Roman" w:eastAsia="Times New Roman" w:cs="Times New Roman"/>
          <w:b/>
          <w:sz w:val="24"/>
          <w:lang w:eastAsia="ru-RU"/>
        </w:rPr>
        <w:t xml:space="preserve">характеристик предмета закупівлі</w:t>
      </w:r>
      <w:r>
        <w:rPr>
          <w:rFonts w:ascii="Times New Roman" w:hAnsi="Times New Roman" w:eastAsia="Times New Roman" w:cs="Times New Roman"/>
          <w:bCs/>
          <w:sz w:val="24"/>
          <w:lang w:eastAsia="ru-RU"/>
        </w:rPr>
        <w:t xml:space="preserve">:  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Закупівля системи портативних моніторів 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Asus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 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ZenScreen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GO MB16AHP та засобів комутації до них зі встановленням (дообладнання системи конференції) за ДК 021:2015: 32230000-4 Апаратура для передавання радіосигналу з приймальним пристроєм</w:t>
      </w:r>
      <w:r>
        <w:rPr>
          <w:rFonts w:ascii="Times New Roman" w:hAnsi="Times New Roman" w:cs="Times New Roman"/>
          <w:sz w:val="24"/>
          <w:szCs w:val="24"/>
        </w:rPr>
        <w:br/>
      </w:r>
      <w:r/>
    </w:p>
    <w:p>
      <w:pPr>
        <w:ind w:firstLine="357"/>
        <w:jc w:val="center"/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ТЕХНІЧНІ ВИМОГИ</w:t>
      </w:r>
      <w:r/>
    </w:p>
    <w:p>
      <w:pPr>
        <w:ind w:firstLine="357"/>
        <w:jc w:val="center"/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</w:r>
      <w:r/>
    </w:p>
    <w:tbl>
      <w:tblPr>
        <w:tblStyle w:val="689"/>
        <w:tblW w:w="9634" w:type="dxa"/>
        <w:tblLook w:val="04A0" w:firstRow="1" w:lastRow="0" w:firstColumn="1" w:lastColumn="0" w:noHBand="0" w:noVBand="1"/>
      </w:tblPr>
      <w:tblGrid>
        <w:gridCol w:w="562"/>
        <w:gridCol w:w="5670"/>
        <w:gridCol w:w="1701"/>
        <w:gridCol w:w="1701"/>
      </w:tblGrid>
      <w:tr>
        <w:trPr/>
        <w:tc>
          <w:tcPr>
            <w:tcW w:w="562" w:type="dxa"/>
            <w:textDirection w:val="lrTb"/>
            <w:noWrap w:val="false"/>
          </w:tcPr>
          <w:p>
            <w:pPr>
              <w:pStyle w:val="69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№ п/п</w:t>
            </w:r>
            <w:r/>
          </w:p>
        </w:tc>
        <w:tc>
          <w:tcPr>
            <w:tcW w:w="5670" w:type="dxa"/>
            <w:textDirection w:val="lrTb"/>
            <w:noWrap w:val="false"/>
          </w:tcPr>
          <w:p>
            <w:pPr>
              <w:pStyle w:val="69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Назва системи</w:t>
            </w:r>
            <w:r/>
          </w:p>
        </w:tc>
        <w:tc>
          <w:tcPr>
            <w:tcW w:w="1701" w:type="dxa"/>
            <w:textDirection w:val="lrTb"/>
            <w:noWrap w:val="false"/>
          </w:tcPr>
          <w:p>
            <w:pPr>
              <w:pStyle w:val="69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Одиниця виміру</w:t>
            </w:r>
            <w:r/>
          </w:p>
        </w:tc>
        <w:tc>
          <w:tcPr>
            <w:tcW w:w="1701" w:type="dxa"/>
            <w:textDirection w:val="lrTb"/>
            <w:noWrap w:val="false"/>
          </w:tcPr>
          <w:p>
            <w:pPr>
              <w:pStyle w:val="69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Кількість</w:t>
            </w:r>
            <w:r/>
          </w:p>
        </w:tc>
      </w:tr>
      <w:tr>
        <w:trPr/>
        <w:tc>
          <w:tcPr>
            <w:tcW w:w="562" w:type="dxa"/>
            <w:vAlign w:val="center"/>
            <w:textDirection w:val="lrTb"/>
            <w:noWrap w:val="false"/>
          </w:tcPr>
          <w:p>
            <w:pPr>
              <w:pStyle w:val="691"/>
              <w:jc w:val="center"/>
            </w:pPr>
            <w:r>
              <w:rPr>
                <w:b/>
                <w:bCs/>
              </w:rPr>
              <w:t xml:space="preserve">1</w:t>
            </w:r>
            <w:r/>
          </w:p>
        </w:tc>
        <w:tc>
          <w:tcPr>
            <w:tcW w:w="5670" w:type="dxa"/>
            <w:textDirection w:val="lrTb"/>
            <w:noWrap w:val="false"/>
          </w:tcPr>
          <w:p>
            <w:pPr>
              <w:pStyle w:val="691"/>
              <w:rPr>
                <w:b/>
                <w:bCs/>
              </w:rPr>
            </w:pPr>
            <w:r>
              <w:rPr>
                <w:rStyle w:val="711"/>
                <w:b/>
                <w:bCs/>
                <w:color w:val="000000"/>
                <w:shd w:val="clear" w:color="auto" w:fill="ffffff"/>
              </w:rPr>
              <w:t xml:space="preserve">Система портативних моніторів </w:t>
            </w:r>
            <w:r>
              <w:rPr>
                <w:b/>
                <w:bCs/>
                <w:color w:val="000000"/>
                <w:shd w:val="clear" w:color="auto" w:fill="ffffff"/>
              </w:rPr>
              <w:t xml:space="preserve">Asus</w:t>
            </w:r>
            <w:r>
              <w:rPr>
                <w:b/>
                <w:bCs/>
                <w:color w:val="000000"/>
                <w:shd w:val="clear" w:color="auto" w:fill="ffffff"/>
              </w:rPr>
              <w:t xml:space="preserve"> </w:t>
            </w:r>
            <w:r>
              <w:rPr>
                <w:b/>
                <w:bCs/>
                <w:color w:val="000000"/>
                <w:shd w:val="clear" w:color="auto" w:fill="ffffff"/>
              </w:rPr>
              <w:t xml:space="preserve">ZenScreen</w:t>
            </w:r>
            <w:r>
              <w:rPr>
                <w:b/>
                <w:bCs/>
                <w:color w:val="000000"/>
                <w:shd w:val="clear" w:color="auto" w:fill="ffffff"/>
              </w:rPr>
              <w:t xml:space="preserve"> GO MB16AHP та засобів комутації до них</w:t>
            </w:r>
            <w:r/>
          </w:p>
        </w:tc>
        <w:tc>
          <w:tcPr>
            <w:tcW w:w="1701" w:type="dxa"/>
            <w:vAlign w:val="center"/>
            <w:textDirection w:val="lrTb"/>
            <w:noWrap w:val="false"/>
          </w:tcPr>
          <w:p>
            <w:pPr>
              <w:pStyle w:val="691"/>
              <w:jc w:val="center"/>
            </w:pPr>
            <w:r>
              <w:t xml:space="preserve">шт.</w:t>
            </w:r>
            <w:r/>
          </w:p>
        </w:tc>
        <w:tc>
          <w:tcPr>
            <w:tcW w:w="1701" w:type="dxa"/>
            <w:vAlign w:val="center"/>
            <w:textDirection w:val="lrTb"/>
            <w:noWrap w:val="false"/>
          </w:tcPr>
          <w:p>
            <w:pPr>
              <w:pStyle w:val="691"/>
              <w:jc w:val="center"/>
            </w:pPr>
            <w:r>
              <w:t xml:space="preserve">1</w:t>
            </w:r>
            <w:r/>
          </w:p>
        </w:tc>
      </w:tr>
    </w:tbl>
    <w:p>
      <w:pPr>
        <w:pStyle w:val="691"/>
        <w:jc w:val="both"/>
        <w:spacing w:after="0" w:line="240" w:lineRule="auto"/>
        <w:rPr>
          <w:b/>
          <w:bCs/>
          <w:i/>
          <w:iCs/>
          <w:lang w:eastAsia="ru-RU"/>
        </w:rPr>
      </w:pPr>
      <w:r>
        <w:rPr>
          <w:b/>
          <w:bCs/>
          <w:i/>
          <w:iCs/>
          <w:lang w:eastAsia="ru-RU"/>
        </w:rPr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У ціну мають бути включені прямі, загальновиробничі та адміністративні витрати з урахуванням витрат, у тому ч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ислі, але не виключно: транспортні витрати, доплати працівникам у зв’язку з втратою часу в дорозі, зв’язок, страхування, спецзасоби, а також економічно обґрунтований прибуток, який Постачальник планує отримати в результаті продажу, кошти на покриття ризикі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в та/або додаткових витрат, пов’язаних з інфляційними процесами, усі податки і збори, обов’язкові платежі, що сплачуються або мають бути сплачені Постачальником для поставки Товару, зокрема податок на додану вартість, інші витрати, необхідні для виконання 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проєкту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Договору до моменту його повного завершення; монтаж, 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пусконалагоджування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(введення в експлуатацію) Товару.</w:t>
      </w:r>
      <w:r/>
    </w:p>
    <w:p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ВИМОГИ ДО СИСТЕМИ КОНФЕРЕНЦІЇ</w:t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</w:r>
      <w:r/>
    </w:p>
    <w:p>
      <w:pPr>
        <w:pStyle w:val="710"/>
        <w:ind w:firstLine="567"/>
        <w:spacing w:before="0"/>
        <w:rPr>
          <w:lang w:val="uk-UA"/>
        </w:rPr>
      </w:pPr>
      <w:r>
        <w:rPr>
          <w:lang w:val="uk-UA"/>
        </w:rPr>
        <w:t xml:space="preserve">Система конференції має забезпечувати можливість проведення сеансів </w:t>
      </w:r>
      <w:r>
        <w:rPr>
          <w:lang w:val="uk-UA"/>
        </w:rPr>
        <w:t xml:space="preserve">відеоконференцзв’язку</w:t>
      </w:r>
      <w:r>
        <w:rPr>
          <w:lang w:val="uk-UA"/>
        </w:rPr>
        <w:t xml:space="preserve"> в приміщенні кімнати для переговорів.</w:t>
      </w:r>
      <w:r/>
    </w:p>
    <w:p>
      <w:pPr>
        <w:pStyle w:val="710"/>
        <w:ind w:firstLine="567"/>
        <w:spacing w:before="0"/>
        <w:rPr>
          <w:lang w:val="uk-UA"/>
        </w:rPr>
      </w:pPr>
      <w:r>
        <w:rPr>
          <w:lang w:val="uk-UA"/>
        </w:rPr>
        <w:t xml:space="preserve">Для цього кімната для переговорів має бути оснащена дисплеєм з діагоналлю не менше 98”, не менше ніж двома поворотними відео</w:t>
      </w:r>
      <w:r>
        <w:rPr>
          <w:lang w:val="uk-UA"/>
        </w:rPr>
        <w:t xml:space="preserve">камерами, та 25 індивідуальними настільними мікрофонними пультами для виступу, один з яких має пріоритет над іншими. Також, для дублювання зображення з дисплея, необхідно передбачити п’ять настільних моніторів з діагоналлю не менше 21,5” у кількості 13 шт.</w:t>
      </w:r>
      <w:r/>
    </w:p>
    <w:p>
      <w:pPr>
        <w:pStyle w:val="710"/>
        <w:ind w:firstLine="567"/>
        <w:spacing w:before="0"/>
        <w:rPr>
          <w:lang w:val="uk-UA"/>
        </w:rPr>
      </w:pPr>
      <w:r>
        <w:rPr>
          <w:lang w:val="uk-UA"/>
        </w:rPr>
        <w:t xml:space="preserve">Поворотні камери мають бути розміщені по діагональних кутах приміщення;</w:t>
      </w:r>
      <w:r/>
    </w:p>
    <w:p>
      <w:pPr>
        <w:pStyle w:val="710"/>
        <w:ind w:firstLine="567"/>
        <w:spacing w:before="0"/>
        <w:rPr>
          <w:lang w:val="uk-UA"/>
        </w:rPr>
      </w:pPr>
      <w:r>
        <w:rPr>
          <w:lang w:val="uk-UA"/>
        </w:rPr>
        <w:t xml:space="preserve">Комплекс обладнання має забезпечувати можливість проведення сеансів ВКЗ з використанням будь-якого програмного клієнта.</w:t>
      </w:r>
      <w:r/>
    </w:p>
    <w:p>
      <w:pPr>
        <w:pStyle w:val="710"/>
        <w:ind w:firstLine="567"/>
        <w:spacing w:before="0"/>
        <w:rPr>
          <w:lang w:val="uk-UA"/>
        </w:rPr>
      </w:pPr>
      <w:r>
        <w:rPr>
          <w:lang w:val="uk-UA"/>
        </w:rPr>
        <w:t xml:space="preserve">Керування системою конференції має здійснювати оператор, що знаходиться в цій же кімнаті, за допомогою робочої станції на базі операційної системи Windows 10 </w:t>
      </w:r>
      <w:r>
        <w:rPr>
          <w:lang w:val="uk-UA"/>
        </w:rPr>
        <w:t xml:space="preserve">Pro</w:t>
      </w:r>
      <w:r>
        <w:rPr>
          <w:lang w:val="uk-UA"/>
        </w:rPr>
        <w:t xml:space="preserve"> (робоча станція постачається Замовником).</w:t>
      </w:r>
      <w:r/>
    </w:p>
    <w:p>
      <w:pPr>
        <w:pStyle w:val="710"/>
        <w:ind w:firstLine="567"/>
        <w:spacing w:before="0"/>
        <w:rPr>
          <w:lang w:val="uk-UA"/>
        </w:rPr>
      </w:pPr>
      <w:r>
        <w:rPr>
          <w:lang w:val="uk-UA"/>
        </w:rPr>
        <w:t xml:space="preserve">Відстань від робочої станції оператора до (по кабельній трасі):</w:t>
      </w:r>
      <w:r/>
    </w:p>
    <w:p>
      <w:pPr>
        <w:pStyle w:val="710"/>
        <w:spacing w:before="0"/>
        <w:rPr>
          <w:lang w:val="uk-UA"/>
        </w:rPr>
      </w:pPr>
      <w:r>
        <w:rPr>
          <w:lang w:val="uk-UA"/>
        </w:rPr>
        <w:t xml:space="preserve">дисплея – 20 м;</w:t>
      </w:r>
      <w:r/>
    </w:p>
    <w:p>
      <w:pPr>
        <w:pStyle w:val="710"/>
        <w:spacing w:before="0"/>
        <w:rPr>
          <w:lang w:val="uk-UA"/>
        </w:rPr>
      </w:pPr>
      <w:r>
        <w:rPr>
          <w:lang w:val="uk-UA"/>
        </w:rPr>
        <w:t xml:space="preserve">стола з мікрофонними пультами та дублюючими моніторами – 15 м;</w:t>
      </w:r>
      <w:r/>
    </w:p>
    <w:p>
      <w:pPr>
        <w:pStyle w:val="710"/>
        <w:spacing w:before="0"/>
        <w:rPr>
          <w:lang w:val="uk-UA"/>
        </w:rPr>
      </w:pPr>
      <w:r>
        <w:rPr>
          <w:lang w:val="uk-UA"/>
        </w:rPr>
        <w:t xml:space="preserve">ближньої поворотної камери – 5 м;</w:t>
      </w:r>
      <w:r/>
    </w:p>
    <w:p>
      <w:pPr>
        <w:ind w:firstLine="709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дальньої поворотної камери – 20 м.</w:t>
      </w:r>
      <w:r/>
    </w:p>
    <w:p>
      <w:pPr>
        <w:ind w:firstLine="567"/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Дообладнання системи конференції повинно забезпечити повну сумісність із уже існуючою системою. Для ознайомлення із системою конференції </w:t>
      </w:r>
      <w:r>
        <w:rPr>
          <w:rFonts w:ascii="Times New Roman" w:hAnsi="Times New Roman" w:cs="Times New Roman"/>
          <w:sz w:val="24"/>
          <w:szCs w:val="24"/>
        </w:rPr>
        <w:t xml:space="preserve">Замоника</w:t>
      </w:r>
      <w:r>
        <w:rPr>
          <w:rFonts w:ascii="Times New Roman" w:hAnsi="Times New Roman" w:cs="Times New Roman"/>
          <w:sz w:val="24"/>
          <w:szCs w:val="24"/>
        </w:rPr>
        <w:t xml:space="preserve"> (її технічною, кількісною складовою) та її характеристиками, потенційним Учасникам пропонується за домовленістю із Замо</w:t>
      </w:r>
      <w:r>
        <w:rPr>
          <w:rFonts w:ascii="Times New Roman" w:hAnsi="Times New Roman" w:cs="Times New Roman"/>
          <w:sz w:val="24"/>
          <w:szCs w:val="24"/>
        </w:rPr>
        <w:t xml:space="preserve">вниками відвідати об’єкт Замовника для ознайомлення для більш точних прорахунків вартості дообладнання, економії бюджетних коштів та перевіркою сумісності запропонованого обладнання потенційними Учасника із обладнанням, що встановлене на об’єкті Замовника.</w:t>
      </w:r>
      <w:r/>
    </w:p>
    <w:p>
      <w:pPr>
        <w:ind w:firstLine="851"/>
        <w:jc w:val="both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</w:r>
      <w:r/>
    </w:p>
    <w:p>
      <w:pPr>
        <w:ind w:firstLine="567"/>
        <w:jc w:val="both"/>
        <w:spacing w:after="0" w:line="240" w:lineRule="auto"/>
        <w:rPr>
          <w:rFonts w:ascii="Times New Roman" w:hAnsi="Times New Roman" w:cs="Times New Roman"/>
          <w:sz w:val="24"/>
          <w:szCs w:val="24"/>
          <w:lang w:eastAsia="uk-UA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Характеристики товару повинні відповідати вимогам або бути кращими тих, які наведені в таблиці.</w:t>
      </w:r>
      <w:r>
        <w:rPr>
          <w:rFonts w:ascii="Times New Roman" w:hAnsi="Times New Roman" w:cs="Times New Roman"/>
          <w:sz w:val="24"/>
          <w:szCs w:val="24"/>
          <w:lang w:eastAsia="uk-UA"/>
        </w:rPr>
        <w:t xml:space="preserve"> Пропо</w:t>
      </w:r>
      <w:r>
        <w:rPr>
          <w:rFonts w:ascii="Times New Roman" w:hAnsi="Times New Roman" w:cs="Times New Roman"/>
          <w:sz w:val="24"/>
          <w:szCs w:val="24"/>
          <w:lang w:eastAsia="uk-UA"/>
        </w:rPr>
        <w:t xml:space="preserve">зиція Учасника має містити чітке зазначення виробника, моделі та артикулу для можливості перевірки запропонованого товару технічним вимогам Замовника. У разі відсутності зазначених вимог, Замовник залишає право відхилити пропозицію запропонованого товару. 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  <w:lang w:eastAsia="uk-UA"/>
        </w:rPr>
      </w:pPr>
      <w:r>
        <w:rPr>
          <w:rFonts w:ascii="Times New Roman" w:hAnsi="Times New Roman" w:cs="Times New Roman"/>
          <w:sz w:val="24"/>
          <w:szCs w:val="24"/>
          <w:lang w:eastAsia="uk-UA"/>
        </w:rPr>
        <w:t xml:space="preserve">1. Товар повинен бути новим, з повною комплектацією. З товаром поставляються технічний паспорт чи інструкція з експлуатації українською мовою</w:t>
      </w:r>
      <w:r>
        <w:rPr>
          <w:rFonts w:ascii="Times New Roman" w:hAnsi="Times New Roman" w:cs="Times New Roman"/>
          <w:sz w:val="24"/>
          <w:szCs w:val="24"/>
          <w:lang w:eastAsia="uk-UA"/>
        </w:rPr>
        <w:t xml:space="preserve">, гарантійні талони, набір драйверів тощо,  передбачених для товару. Упаковка, в якій постачається товар, повинна відповідати загальноприйнятим стандартам та технічним умовам, забезпечувати зберігання товару, та/або його неушкодженість при транспортуванні.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  <w:lang w:eastAsia="uk-UA"/>
        </w:rPr>
      </w:pPr>
      <w:r>
        <w:rPr>
          <w:rFonts w:ascii="Times New Roman" w:hAnsi="Times New Roman" w:cs="Times New Roman"/>
          <w:sz w:val="24"/>
          <w:szCs w:val="24"/>
          <w:lang w:eastAsia="uk-UA"/>
        </w:rPr>
        <w:t xml:space="preserve">2. Технічні та якісні характеристики повинні відповідати вимогам та стандартам відповідних діючих нормативних документів.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  <w:lang w:eastAsia="uk-UA"/>
        </w:rPr>
      </w:pPr>
      <w:r>
        <w:rPr>
          <w:rFonts w:ascii="Times New Roman" w:hAnsi="Times New Roman" w:cs="Times New Roman"/>
          <w:sz w:val="24"/>
          <w:szCs w:val="24"/>
          <w:lang w:eastAsia="uk-UA"/>
        </w:rPr>
        <w:t xml:space="preserve">3. Доставка товару здійснюється за рахунок та силами Постачальника, у терміни попередньо узгоджені, і визначається в кожному випадку замовленням Замовника.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  <w:lang w:eastAsia="uk-UA"/>
        </w:rPr>
      </w:pPr>
      <w:r>
        <w:rPr>
          <w:rFonts w:ascii="Times New Roman" w:hAnsi="Times New Roman" w:cs="Times New Roman"/>
          <w:sz w:val="24"/>
          <w:szCs w:val="24"/>
          <w:lang w:eastAsia="uk-UA"/>
        </w:rPr>
        <w:t xml:space="preserve">4. Приймання товарів проводиться при наявності товаро супроводжуючих документів, видаткової накладної та копії документів, що підтверджують якість товарів.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  <w:lang w:eastAsia="ar-SA"/>
        </w:rPr>
      </w:pPr>
      <w:r>
        <w:rPr>
          <w:rFonts w:ascii="Times New Roman" w:hAnsi="Times New Roman" w:eastAsia="Calibri" w:cs="Times New Roman"/>
          <w:sz w:val="24"/>
          <w:szCs w:val="24"/>
        </w:rPr>
        <w:t xml:space="preserve">7.  Гарантійні зобов’язання (всіх найменувань) повинні бути не менше строків, визначених технічними умовами виробника даних товарів. </w:t>
      </w:r>
      <w:r>
        <w:rPr>
          <w:rFonts w:ascii="Times New Roman" w:hAnsi="Times New Roman" w:cs="Times New Roman"/>
          <w:sz w:val="24"/>
          <w:szCs w:val="24"/>
          <w:lang w:eastAsia="ar-SA"/>
        </w:rPr>
        <w:t xml:space="preserve">Учасник повинен забезпечити обслуговування (підтримку) протягом гарантійного терміну. 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  <w:lang w:eastAsia="ar-SA"/>
        </w:rPr>
      </w:pPr>
      <w:r>
        <w:rPr>
          <w:rFonts w:ascii="Times New Roman" w:hAnsi="Times New Roman" w:cs="Times New Roman"/>
          <w:sz w:val="24"/>
          <w:szCs w:val="24"/>
          <w:lang w:eastAsia="ar-SA"/>
        </w:rPr>
        <w:t xml:space="preserve">8. </w:t>
      </w:r>
      <w:r>
        <w:rPr>
          <w:rFonts w:ascii="Times New Roman" w:hAnsi="Times New Roman" w:cs="Times New Roman"/>
          <w:sz w:val="24"/>
          <w:szCs w:val="24"/>
        </w:rPr>
        <w:t xml:space="preserve">Інформація про необхідні технічні, якісні та кількісні характеристики предмета закупівлі мають включати </w:t>
      </w:r>
      <w:r>
        <w:rPr>
          <w:rFonts w:ascii="Times New Roman" w:hAnsi="Times New Roman" w:cs="Times New Roman"/>
          <w:sz w:val="24"/>
          <w:szCs w:val="24"/>
        </w:rPr>
        <w:t xml:space="preserve">Авторизаційний</w:t>
      </w:r>
      <w:r>
        <w:rPr>
          <w:rFonts w:ascii="Times New Roman" w:hAnsi="Times New Roman" w:cs="Times New Roman"/>
          <w:sz w:val="24"/>
          <w:szCs w:val="24"/>
        </w:rPr>
        <w:t xml:space="preserve"> лист від виробника товару, що проп</w:t>
      </w:r>
      <w:r>
        <w:rPr>
          <w:rFonts w:ascii="Times New Roman" w:hAnsi="Times New Roman" w:cs="Times New Roman"/>
          <w:sz w:val="24"/>
          <w:szCs w:val="24"/>
        </w:rPr>
        <w:t xml:space="preserve">онується до постачання (або його уповноваженого представника, або представництва), адресований замовнику закупівлі, із зазначенням предмету закупівлі, з підтвердженням повноважень учасника здійснювати продаж товару кінцевому споживачу на території України.</w:t>
      </w:r>
      <w:r/>
    </w:p>
    <w:p>
      <w:pPr>
        <w:ind w:left="14" w:firstLine="538"/>
        <w:jc w:val="both"/>
        <w:spacing w:after="0" w:line="240" w:lineRule="auto"/>
        <w:rPr>
          <w:rFonts w:ascii="Times New Roman" w:hAnsi="Times New Roman" w:cs="Times New Roman"/>
          <w:sz w:val="24"/>
          <w:szCs w:val="24"/>
          <w:lang w:eastAsia="ar-SA"/>
        </w:rPr>
      </w:pPr>
      <w:r>
        <w:rPr>
          <w:rFonts w:ascii="Times New Roman" w:hAnsi="Times New Roman" w:cs="Times New Roman"/>
          <w:sz w:val="24"/>
          <w:szCs w:val="24"/>
          <w:lang w:eastAsia="ar-SA"/>
        </w:rPr>
        <w:t xml:space="preserve">У разі, якщо характеристики товару, що пропонується Учасником до постачання, відрізняються від характеристик, які вимагаються Замовником, такий учасник у складі тендерної пропозиції надає таблицю відповідності за нижченаведеною формою.</w:t>
      </w:r>
      <w:r/>
    </w:p>
    <w:p>
      <w:pPr>
        <w:ind w:left="14" w:firstLine="538"/>
        <w:jc w:val="both"/>
        <w:spacing w:after="0" w:line="240" w:lineRule="auto"/>
        <w:rPr>
          <w:rFonts w:ascii="Times New Roman" w:hAnsi="Times New Roman" w:cs="Times New Roman"/>
          <w:sz w:val="24"/>
          <w:szCs w:val="24"/>
          <w:lang w:eastAsia="ar-SA"/>
        </w:rPr>
      </w:pPr>
      <w:r>
        <w:rPr>
          <w:rFonts w:ascii="Times New Roman" w:hAnsi="Times New Roman" w:cs="Times New Roman"/>
          <w:sz w:val="24"/>
          <w:szCs w:val="24"/>
          <w:lang w:eastAsia="ar-SA"/>
        </w:rPr>
      </w:r>
      <w:r/>
    </w:p>
    <w:p>
      <w:pPr>
        <w:ind w:left="14" w:firstLine="538"/>
        <w:jc w:val="both"/>
        <w:spacing w:after="0" w:line="240" w:lineRule="auto"/>
        <w:rPr>
          <w:rFonts w:ascii="Times New Roman" w:hAnsi="Times New Roman" w:cs="Times New Roman"/>
          <w:sz w:val="24"/>
          <w:szCs w:val="24"/>
          <w:lang w:eastAsia="ar-SA"/>
        </w:rPr>
      </w:pPr>
      <w:r>
        <w:rPr>
          <w:rFonts w:ascii="Times New Roman" w:hAnsi="Times New Roman" w:cs="Times New Roman"/>
          <w:sz w:val="24"/>
          <w:szCs w:val="24"/>
          <w:lang w:eastAsia="ar-SA"/>
        </w:rPr>
      </w:r>
      <w:r/>
    </w:p>
    <w:p>
      <w:pPr>
        <w:contextualSpacing/>
        <w:ind w:left="14" w:firstLine="538"/>
        <w:jc w:val="center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eastAsia="ar-SA"/>
        </w:rPr>
      </w:pPr>
      <w:r>
        <w:rPr>
          <w:rFonts w:ascii="Times New Roman" w:hAnsi="Times New Roman" w:cs="Times New Roman"/>
          <w:b/>
          <w:bCs/>
          <w:sz w:val="24"/>
          <w:szCs w:val="24"/>
          <w:lang w:eastAsia="ar-SA"/>
        </w:rPr>
        <w:t xml:space="preserve">Таблиця відповідності</w:t>
      </w:r>
      <w:r/>
    </w:p>
    <w:p>
      <w:pPr>
        <w:contextualSpacing/>
        <w:spacing w:after="0" w:line="240" w:lineRule="auto"/>
        <w:rPr>
          <w:rFonts w:ascii="Times New Roman" w:hAnsi="Times New Roman" w:cs="Times New Roman"/>
          <w:sz w:val="24"/>
          <w:szCs w:val="24"/>
          <w:lang w:eastAsia="ar-SA"/>
        </w:rPr>
      </w:pPr>
      <w:r>
        <w:rPr>
          <w:rFonts w:ascii="Times New Roman" w:hAnsi="Times New Roman" w:cs="Times New Roman"/>
          <w:sz w:val="24"/>
          <w:szCs w:val="24"/>
          <w:lang w:eastAsia="ar-SA"/>
        </w:rPr>
      </w:r>
      <w:r/>
    </w:p>
    <w:tbl>
      <w:tblPr>
        <w:tblpPr w:horzAnchor="margin" w:tblpXSpec="left" w:vertAnchor="text" w:tblpY="-62" w:leftFromText="180" w:topFromText="0" w:rightFromText="180" w:bottomFromText="0"/>
        <w:tblW w:w="1003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997"/>
        <w:gridCol w:w="2928"/>
        <w:gridCol w:w="3163"/>
        <w:gridCol w:w="2943"/>
      </w:tblGrid>
      <w:tr>
        <w:trPr/>
        <w:tc>
          <w:tcPr>
            <w:tcW w:w="520" w:type="dxa"/>
            <w:vAlign w:val="center"/>
            <w:textDirection w:val="lrTb"/>
            <w:noWrap w:val="false"/>
          </w:tcPr>
          <w:p>
            <w:pPr>
              <w:contextualSpacing/>
              <w:ind w:left="14" w:firstLine="538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 xml:space="preserve">№ з/п</w:t>
            </w:r>
            <w:r/>
          </w:p>
        </w:tc>
        <w:tc>
          <w:tcPr>
            <w:tcW w:w="3000" w:type="dxa"/>
            <w:vAlign w:val="center"/>
            <w:textDirection w:val="lrTb"/>
            <w:noWrap w:val="false"/>
          </w:tcPr>
          <w:p>
            <w:pPr>
              <w:contextualSpacing/>
              <w:ind w:left="14" w:firstLine="538"/>
              <w:jc w:val="center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 xml:space="preserve">Характеристика</w:t>
            </w:r>
            <w:r/>
          </w:p>
        </w:tc>
        <w:tc>
          <w:tcPr>
            <w:tcW w:w="3396" w:type="dxa"/>
            <w:vAlign w:val="center"/>
            <w:textDirection w:val="lrTb"/>
            <w:noWrap w:val="false"/>
          </w:tcPr>
          <w:p>
            <w:pPr>
              <w:contextualSpacing/>
              <w:ind w:left="14" w:firstLine="538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 xml:space="preserve">Опис технічних вимог, які визначені Замовником</w:t>
            </w:r>
            <w:r/>
          </w:p>
        </w:tc>
        <w:tc>
          <w:tcPr>
            <w:tcW w:w="3115" w:type="dxa"/>
            <w:vAlign w:val="center"/>
            <w:textDirection w:val="lrTb"/>
            <w:noWrap w:val="false"/>
          </w:tcPr>
          <w:p>
            <w:pPr>
              <w:contextualSpacing/>
              <w:ind w:left="14" w:firstLine="538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 xml:space="preserve">Опис технічних вимог, які  пропонуються Учасником</w:t>
            </w:r>
            <w:r/>
          </w:p>
        </w:tc>
      </w:tr>
    </w:tbl>
    <w:p>
      <w:pPr>
        <w:ind w:firstLine="263"/>
        <w:jc w:val="both"/>
        <w:spacing w:after="0" w:line="240" w:lineRule="auto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 xml:space="preserve">Товар повинен відповідати вимогам:</w:t>
      </w:r>
      <w:r/>
    </w:p>
    <w:p>
      <w:pPr>
        <w:ind w:firstLine="263"/>
        <w:jc w:val="both"/>
        <w:spacing w:after="0" w:line="240" w:lineRule="auto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 xml:space="preserve">- Закону України від 14.08.2014р. № 1644-VІІ «Про санкції»,</w:t>
      </w:r>
      <w:r/>
    </w:p>
    <w:p>
      <w:pPr>
        <w:ind w:firstLine="263"/>
        <w:jc w:val="both"/>
        <w:spacing w:after="0" w:line="240" w:lineRule="auto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 xml:space="preserve">- Указу Президента України від 15.05.2017р. № 133/2017 «Про рішення Ради національної безпеки і оборони України від 28 квітня 2017 року «Про застосування персональних спеціальних економічних та інших обмежувальних заходів (санкцій)»,</w:t>
      </w:r>
      <w:r/>
    </w:p>
    <w:p>
      <w:pPr>
        <w:ind w:firstLine="263"/>
        <w:jc w:val="both"/>
        <w:spacing w:after="0" w:line="240" w:lineRule="auto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 xml:space="preserve">- Постанови КМУ від 16.12.2015р. № 1035 «Про обмеження поставок окремих товарів(робіт, послуг) з тимчасово окупованої території на іншу територію України та/або з іншої території України на тимчасово окуповану територію»,</w:t>
      </w:r>
      <w:r/>
    </w:p>
    <w:p>
      <w:pPr>
        <w:ind w:firstLine="263"/>
        <w:jc w:val="both"/>
        <w:spacing w:after="0" w:line="240" w:lineRule="auto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 xml:space="preserve">- п/п. 4 п.2 частини першої Розпорядження Кабінету Міністрів України від 11.09.2014 р. №829-р «Про пропозиції щодо застосування персональних спеціальних економічних та інших обмежувальних заходів», згідно з якими заборонено здійснення державних </w:t>
      </w:r>
      <w:r>
        <w:rPr>
          <w:rFonts w:ascii="Times New Roman" w:hAnsi="Times New Roman" w:cs="Times New Roman"/>
          <w:bCs/>
          <w:iCs/>
          <w:sz w:val="24"/>
          <w:szCs w:val="24"/>
        </w:rPr>
        <w:t xml:space="preserve">закупівель</w:t>
      </w:r>
      <w:r>
        <w:rPr>
          <w:rFonts w:ascii="Times New Roman" w:hAnsi="Times New Roman" w:cs="Times New Roman"/>
          <w:bCs/>
          <w:iCs/>
          <w:sz w:val="24"/>
          <w:szCs w:val="24"/>
        </w:rPr>
        <w:t xml:space="preserve"> товарів, робіт і послуг у юридичних осіб - резидентів Російської Федерації державної форми власності та юридичних осіб, частка статутного капіталу яких перебуває у власності Російської Федерації, а та</w:t>
      </w:r>
      <w:r>
        <w:rPr>
          <w:rFonts w:ascii="Times New Roman" w:hAnsi="Times New Roman" w:cs="Times New Roman"/>
          <w:bCs/>
          <w:iCs/>
          <w:sz w:val="24"/>
          <w:szCs w:val="24"/>
        </w:rPr>
        <w:t xml:space="preserve">кож у інших суб’єктів господарювання, що здійснюють продаж товарів, робіт і послуг походженням з Російської Федерації, крім випадків, коли заміщення таких предметів закупівлі іншими неможливе, що підтверджено Міністерством економічного розвитку і торгівлі.</w:t>
      </w:r>
      <w:r/>
    </w:p>
    <w:p>
      <w:pPr>
        <w:ind w:firstLine="263"/>
        <w:jc w:val="both"/>
        <w:spacing w:after="0" w:line="240" w:lineRule="auto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 xml:space="preserve">У разі якщо товар не відповідає технічним вимогам Замовника або Учасник не в змозі виконати умови поставки, які визначені Замовником, Пропозиція відхиляється.</w:t>
      </w:r>
      <w:r/>
    </w:p>
    <w:p>
      <w:pPr>
        <w:ind w:firstLine="263"/>
        <w:jc w:val="both"/>
        <w:spacing w:after="0" w:line="240" w:lineRule="auto"/>
        <w:rPr>
          <w:rFonts w:ascii="Times New Roman" w:hAnsi="Times New Roman" w:cs="Times New Roman"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Cs/>
          <w:i/>
          <w:iCs/>
          <w:sz w:val="24"/>
          <w:szCs w:val="24"/>
        </w:rPr>
      </w:r>
      <w:r/>
    </w:p>
    <w:p>
      <w:pPr>
        <w:ind w:firstLine="263"/>
        <w:jc w:val="both"/>
        <w:spacing w:after="0" w:line="240" w:lineRule="auto"/>
        <w:rPr>
          <w:rFonts w:ascii="Times New Roman" w:hAnsi="Times New Roman" w:cs="Times New Roman"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Cs/>
          <w:i/>
          <w:iCs/>
          <w:sz w:val="24"/>
          <w:szCs w:val="24"/>
        </w:rPr>
      </w:r>
      <w:r/>
    </w:p>
    <w:p>
      <w:pPr>
        <w:ind w:firstLine="263"/>
        <w:jc w:val="both"/>
        <w:spacing w:after="0" w:line="240" w:lineRule="auto"/>
        <w:rPr>
          <w:rFonts w:ascii="Times New Roman" w:hAnsi="Times New Roman" w:cs="Times New Roman"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Cs/>
          <w:i/>
          <w:iCs/>
          <w:sz w:val="24"/>
          <w:szCs w:val="24"/>
        </w:rPr>
      </w:r>
      <w:r/>
    </w:p>
    <w:p>
      <w:pPr>
        <w:pStyle w:val="687"/>
        <w:ind w:left="0" w:firstLine="567"/>
        <w:jc w:val="center"/>
        <w:spacing w:after="0" w:line="240" w:lineRule="auto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uk-UA"/>
        </w:rPr>
        <w:t xml:space="preserve">СПЕЦИФІКАЦІЯ:</w:t>
      </w:r>
      <w:r/>
    </w:p>
    <w:p>
      <w:pPr>
        <w:pStyle w:val="687"/>
        <w:ind w:left="0" w:firstLine="567"/>
        <w:jc w:val="center"/>
        <w:spacing w:after="0" w:line="240" w:lineRule="auto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uk-UA"/>
        </w:rPr>
      </w:r>
      <w:r/>
    </w:p>
    <w:tbl>
      <w:tblPr>
        <w:tblW w:w="963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529"/>
        <w:gridCol w:w="7011"/>
        <w:gridCol w:w="917"/>
        <w:gridCol w:w="1177"/>
      </w:tblGrid>
      <w:tr>
        <w:trPr>
          <w:trHeight w:val="768"/>
        </w:trPr>
        <w:tc>
          <w:tcPr>
            <w:shd w:val="clear" w:color="auto" w:fill="auto"/>
            <w:tcW w:w="529" w:type="dxa"/>
            <w:textDirection w:val="lrTb"/>
            <w:noWrap w:val="false"/>
          </w:tcPr>
          <w:p>
            <w:pPr>
              <w:pStyle w:val="70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№</w:t>
            </w:r>
            <w:r/>
          </w:p>
          <w:p>
            <w:pPr>
              <w:pStyle w:val="70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з/п</w:t>
            </w:r>
            <w:r/>
          </w:p>
        </w:tc>
        <w:tc>
          <w:tcPr>
            <w:shd w:val="clear" w:color="auto" w:fill="auto"/>
            <w:tcW w:w="7011" w:type="dxa"/>
            <w:textDirection w:val="lrTb"/>
            <w:noWrap w:val="false"/>
          </w:tcPr>
          <w:p>
            <w:pPr>
              <w:pStyle w:val="70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Найменування обладнання</w:t>
            </w:r>
            <w:r/>
          </w:p>
        </w:tc>
        <w:tc>
          <w:tcPr>
            <w:shd w:val="clear" w:color="auto" w:fill="auto"/>
            <w:tcW w:w="917" w:type="dxa"/>
            <w:textDirection w:val="lrTb"/>
            <w:noWrap w:val="false"/>
          </w:tcPr>
          <w:p>
            <w:pPr>
              <w:pStyle w:val="70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Од.</w:t>
            </w:r>
            <w:r/>
          </w:p>
          <w:p>
            <w:pPr>
              <w:pStyle w:val="70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виміру</w:t>
            </w:r>
            <w:r/>
          </w:p>
        </w:tc>
        <w:tc>
          <w:tcPr>
            <w:shd w:val="clear" w:color="auto" w:fill="auto"/>
            <w:tcW w:w="1177" w:type="dxa"/>
            <w:textDirection w:val="lrTb"/>
            <w:noWrap w:val="false"/>
          </w:tcPr>
          <w:p>
            <w:pPr>
              <w:pStyle w:val="70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Кількість</w:t>
            </w:r>
            <w:r/>
          </w:p>
        </w:tc>
      </w:tr>
      <w:tr>
        <w:trPr>
          <w:trHeight w:val="768"/>
        </w:trPr>
        <w:tc>
          <w:tcPr>
            <w:shd w:val="clear" w:color="auto" w:fill="auto"/>
            <w:tcW w:w="529" w:type="dxa"/>
            <w:textDirection w:val="lrTb"/>
            <w:noWrap w:val="false"/>
          </w:tcPr>
          <w:p>
            <w:pPr>
              <w:pStyle w:val="707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1)</w:t>
            </w:r>
            <w:r/>
          </w:p>
        </w:tc>
        <w:tc>
          <w:tcPr>
            <w:shd w:val="clear" w:color="auto" w:fill="auto"/>
            <w:tcW w:w="7011" w:type="dxa"/>
            <w:textDirection w:val="lrTb"/>
            <w:noWrap w:val="false"/>
          </w:tcPr>
          <w:p>
            <w:pPr>
              <w:pStyle w:val="707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Style w:val="711"/>
                <w:rFonts w:ascii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 xml:space="preserve">Система портативних моніторів 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 xml:space="preserve">Asus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 xml:space="preserve"> 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 xml:space="preserve">ZenScreen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 xml:space="preserve"> GO MB16AHP та засобів комутації до них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shd w:val="clear" w:color="auto" w:fill="ffffff"/>
              </w:rPr>
              <w:t xml:space="preserve">, </w:t>
            </w:r>
            <w:r>
              <w:rPr>
                <w:rFonts w:ascii="Times New Roman" w:hAnsi="Times New Roman"/>
                <w:i/>
                <w:iCs/>
                <w:sz w:val="24"/>
                <w:szCs w:val="24"/>
                <w:shd w:val="clear" w:color="auto" w:fill="ffffff"/>
              </w:rPr>
              <w:t xml:space="preserve">у складі:</w:t>
            </w:r>
            <w:r/>
          </w:p>
        </w:tc>
        <w:tc>
          <w:tcPr>
            <w:shd w:val="clear" w:color="auto" w:fill="auto"/>
            <w:tcW w:w="917" w:type="dxa"/>
            <w:textDirection w:val="lrTb"/>
            <w:noWrap w:val="false"/>
          </w:tcPr>
          <w:p>
            <w:pPr>
              <w:pStyle w:val="707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шт.</w:t>
            </w:r>
            <w:r/>
          </w:p>
        </w:tc>
        <w:tc>
          <w:tcPr>
            <w:shd w:val="clear" w:color="auto" w:fill="auto"/>
            <w:tcW w:w="1177" w:type="dxa"/>
            <w:textDirection w:val="lrTb"/>
            <w:noWrap w:val="false"/>
          </w:tcPr>
          <w:p>
            <w:pPr>
              <w:pStyle w:val="707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1</w:t>
            </w:r>
            <w:r/>
          </w:p>
        </w:tc>
      </w:tr>
      <w:tr>
        <w:trPr/>
        <w:tc>
          <w:tcPr>
            <w:shd w:val="clear" w:color="auto" w:fill="auto"/>
            <w:tcW w:w="529" w:type="dxa"/>
            <w:textDirection w:val="lrTb"/>
            <w:noWrap w:val="false"/>
          </w:tcPr>
          <w:p>
            <w:pPr>
              <w:pStyle w:val="70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1.</w:t>
            </w:r>
            <w:r/>
          </w:p>
        </w:tc>
        <w:tc>
          <w:tcPr>
            <w:shd w:val="clear" w:color="auto" w:fill="auto"/>
            <w:tcW w:w="7011" w:type="dxa"/>
            <w:textDirection w:val="lrTb"/>
            <w:noWrap w:val="false"/>
          </w:tcPr>
          <w:p>
            <w:pPr>
              <w:pStyle w:val="70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Монiтор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портативний LCD 15.6"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Asus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ZenScreen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GO MB16AHP</w:t>
            </w:r>
            <w:r/>
          </w:p>
          <w:p>
            <w:pPr>
              <w:pStyle w:val="70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mHDMI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USB-C, MM, IPS, 7800mAh,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Cover</w:t>
            </w:r>
            <w:r/>
          </w:p>
        </w:tc>
        <w:tc>
          <w:tcPr>
            <w:shd w:val="clear" w:color="auto" w:fill="auto"/>
            <w:tcW w:w="917" w:type="dxa"/>
            <w:textDirection w:val="lrTb"/>
            <w:noWrap w:val="false"/>
          </w:tcPr>
          <w:p>
            <w:pPr>
              <w:pStyle w:val="70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шт.</w:t>
            </w:r>
            <w:r/>
          </w:p>
        </w:tc>
        <w:tc>
          <w:tcPr>
            <w:shd w:val="clear" w:color="auto" w:fill="auto"/>
            <w:tcW w:w="1177" w:type="dxa"/>
            <w:textDirection w:val="lrTb"/>
            <w:noWrap w:val="false"/>
          </w:tcPr>
          <w:p>
            <w:pPr>
              <w:pStyle w:val="707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8</w:t>
            </w:r>
            <w:r/>
          </w:p>
        </w:tc>
      </w:tr>
      <w:tr>
        <w:trPr/>
        <w:tc>
          <w:tcPr>
            <w:shd w:val="clear" w:color="auto" w:fill="auto"/>
            <w:tcW w:w="529" w:type="dxa"/>
            <w:textDirection w:val="lrTb"/>
            <w:noWrap w:val="false"/>
          </w:tcPr>
          <w:p>
            <w:pPr>
              <w:pStyle w:val="70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2.</w:t>
            </w:r>
            <w:r/>
          </w:p>
        </w:tc>
        <w:tc>
          <w:tcPr>
            <w:shd w:val="clear" w:color="auto" w:fill="auto"/>
            <w:tcW w:w="7011" w:type="dxa"/>
            <w:textDirection w:val="lrTb"/>
            <w:noWrap w:val="false"/>
          </w:tcPr>
          <w:p>
            <w:pPr>
              <w:pStyle w:val="70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Підсилювач-розгалужувач сигналу HDMI, 1:4</w:t>
            </w:r>
            <w:r/>
          </w:p>
        </w:tc>
        <w:tc>
          <w:tcPr>
            <w:shd w:val="clear" w:color="auto" w:fill="auto"/>
            <w:tcW w:w="917" w:type="dxa"/>
            <w:textDirection w:val="lrTb"/>
            <w:noWrap w:val="false"/>
          </w:tcPr>
          <w:p>
            <w:pPr>
              <w:pStyle w:val="70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шт.</w:t>
            </w:r>
            <w:r/>
          </w:p>
        </w:tc>
        <w:tc>
          <w:tcPr>
            <w:shd w:val="clear" w:color="auto" w:fill="auto"/>
            <w:tcW w:w="1177" w:type="dxa"/>
            <w:textDirection w:val="lrTb"/>
            <w:noWrap w:val="false"/>
          </w:tcPr>
          <w:p>
            <w:pPr>
              <w:pStyle w:val="707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3</w:t>
            </w:r>
            <w:r/>
          </w:p>
        </w:tc>
      </w:tr>
      <w:tr>
        <w:trPr/>
        <w:tc>
          <w:tcPr>
            <w:shd w:val="clear" w:color="auto" w:fill="auto"/>
            <w:tcW w:w="529" w:type="dxa"/>
            <w:textDirection w:val="lrTb"/>
            <w:noWrap w:val="false"/>
          </w:tcPr>
          <w:p>
            <w:pPr>
              <w:pStyle w:val="70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3.</w:t>
            </w:r>
            <w:r/>
          </w:p>
        </w:tc>
        <w:tc>
          <w:tcPr>
            <w:shd w:val="clear" w:color="auto" w:fill="auto"/>
            <w:tcW w:w="7011" w:type="dxa"/>
            <w:textDirection w:val="lrTb"/>
            <w:noWrap w:val="false"/>
          </w:tcPr>
          <w:p>
            <w:pPr>
              <w:pStyle w:val="70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Кабель монітора-сигнальний 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HDMI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-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micro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M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/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M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3.0 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m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Goobay</w:t>
            </w:r>
            <w:r/>
          </w:p>
          <w:p>
            <w:pPr>
              <w:pStyle w:val="707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HS+HEC+ARC 4K@60Hz D=4.2 mm Gold 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Чорний</w:t>
            </w:r>
            <w:r/>
          </w:p>
        </w:tc>
        <w:tc>
          <w:tcPr>
            <w:shd w:val="clear" w:color="auto" w:fill="auto"/>
            <w:tcW w:w="917" w:type="dxa"/>
            <w:textDirection w:val="lrTb"/>
            <w:noWrap w:val="false"/>
          </w:tcPr>
          <w:p>
            <w:pPr>
              <w:pStyle w:val="70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шт.</w:t>
            </w:r>
            <w:r/>
          </w:p>
        </w:tc>
        <w:tc>
          <w:tcPr>
            <w:shd w:val="clear" w:color="auto" w:fill="auto"/>
            <w:tcW w:w="1177" w:type="dxa"/>
            <w:textDirection w:val="lrTb"/>
            <w:noWrap w:val="false"/>
          </w:tcPr>
          <w:p>
            <w:pPr>
              <w:pStyle w:val="707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8</w:t>
            </w:r>
            <w:r/>
          </w:p>
        </w:tc>
      </w:tr>
      <w:tr>
        <w:trPr/>
        <w:tc>
          <w:tcPr>
            <w:shd w:val="clear" w:color="auto" w:fill="auto"/>
            <w:tcW w:w="529" w:type="dxa"/>
            <w:textDirection w:val="lrTb"/>
            <w:noWrap w:val="false"/>
          </w:tcPr>
          <w:p>
            <w:pPr>
              <w:pStyle w:val="70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4.</w:t>
            </w:r>
            <w:r/>
          </w:p>
        </w:tc>
        <w:tc>
          <w:tcPr>
            <w:shd w:val="clear" w:color="auto" w:fill="auto"/>
            <w:tcW w:w="7011" w:type="dxa"/>
            <w:textDirection w:val="lrTb"/>
            <w:noWrap w:val="false"/>
          </w:tcPr>
          <w:p>
            <w:pPr>
              <w:pStyle w:val="707"/>
              <w:rPr>
                <w:rFonts w:ascii="Times New Roman" w:hAnsi="Times New Roman"/>
                <w:sz w:val="24"/>
                <w:szCs w:val="24"/>
                <w:lang w:bidi="ar-SA"/>
              </w:rPr>
            </w:pPr>
            <w:r>
              <w:rPr>
                <w:rFonts w:ascii="Times New Roman" w:hAnsi="Times New Roman"/>
                <w:sz w:val="24"/>
                <w:szCs w:val="24"/>
                <w:lang w:bidi="ar-SA"/>
              </w:rPr>
              <w:t xml:space="preserve">Кабель 4K HDR 4:4:4 60Hz HDMI </w:t>
            </w:r>
            <w:r>
              <w:rPr>
                <w:rFonts w:ascii="Times New Roman" w:hAnsi="Times New Roman"/>
                <w:sz w:val="24"/>
                <w:szCs w:val="24"/>
                <w:lang w:bidi="ar-SA"/>
              </w:rPr>
              <w:t xml:space="preserve">Cable</w:t>
            </w:r>
            <w:r>
              <w:rPr>
                <w:rFonts w:ascii="Times New Roman" w:hAnsi="Times New Roman"/>
                <w:sz w:val="24"/>
                <w:szCs w:val="24"/>
                <w:lang w:bidi="ar-SA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bidi="ar-SA"/>
              </w:rPr>
              <w:t xml:space="preserve">with</w:t>
            </w:r>
            <w:r>
              <w:rPr>
                <w:rFonts w:ascii="Times New Roman" w:hAnsi="Times New Roman"/>
                <w:sz w:val="24"/>
                <w:szCs w:val="24"/>
                <w:lang w:bidi="ar-SA"/>
              </w:rPr>
              <w:t xml:space="preserve"> CL3 </w:t>
            </w:r>
            <w:r>
              <w:rPr>
                <w:rFonts w:ascii="Times New Roman" w:hAnsi="Times New Roman"/>
                <w:sz w:val="24"/>
                <w:szCs w:val="24"/>
                <w:lang w:bidi="ar-SA"/>
              </w:rPr>
              <w:t xml:space="preserve">Rating</w:t>
            </w:r>
            <w:r/>
          </w:p>
          <w:p>
            <w:pPr>
              <w:pStyle w:val="707"/>
              <w:rPr>
                <w:rFonts w:ascii="Times New Roman" w:hAnsi="Times New Roman"/>
                <w:sz w:val="24"/>
                <w:szCs w:val="24"/>
                <w:lang w:bidi="ar-SA"/>
              </w:rPr>
            </w:pPr>
            <w:r>
              <w:rPr>
                <w:rFonts w:ascii="Times New Roman" w:hAnsi="Times New Roman"/>
                <w:sz w:val="24"/>
                <w:szCs w:val="24"/>
                <w:lang w:bidi="ar-SA"/>
              </w:rPr>
              <w:t xml:space="preserve">(5m/16.4ft)</w:t>
            </w:r>
            <w:r/>
          </w:p>
        </w:tc>
        <w:tc>
          <w:tcPr>
            <w:shd w:val="clear" w:color="auto" w:fill="auto"/>
            <w:tcW w:w="917" w:type="dxa"/>
            <w:textDirection w:val="lrTb"/>
            <w:noWrap w:val="false"/>
          </w:tcPr>
          <w:p>
            <w:pPr>
              <w:pStyle w:val="70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шт.</w:t>
            </w:r>
            <w:r/>
          </w:p>
        </w:tc>
        <w:tc>
          <w:tcPr>
            <w:shd w:val="clear" w:color="auto" w:fill="auto"/>
            <w:tcW w:w="1177" w:type="dxa"/>
            <w:textDirection w:val="lrTb"/>
            <w:noWrap w:val="false"/>
          </w:tcPr>
          <w:p>
            <w:pPr>
              <w:pStyle w:val="707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2</w:t>
            </w:r>
            <w:r/>
          </w:p>
        </w:tc>
      </w:tr>
      <w:tr>
        <w:trPr/>
        <w:tc>
          <w:tcPr>
            <w:shd w:val="clear" w:color="auto" w:fill="auto"/>
            <w:tcW w:w="529" w:type="dxa"/>
            <w:textDirection w:val="lrTb"/>
            <w:noWrap w:val="false"/>
          </w:tcPr>
          <w:p>
            <w:pPr>
              <w:pStyle w:val="70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5.</w:t>
            </w:r>
            <w:r/>
          </w:p>
        </w:tc>
        <w:tc>
          <w:tcPr>
            <w:shd w:val="clear" w:color="auto" w:fill="auto"/>
            <w:tcW w:w="7011" w:type="dxa"/>
            <w:textDirection w:val="lrTb"/>
            <w:noWrap w:val="false"/>
          </w:tcPr>
          <w:p>
            <w:pPr>
              <w:pStyle w:val="707"/>
              <w:rPr>
                <w:rFonts w:ascii="Times New Roman" w:hAnsi="Times New Roman"/>
                <w:sz w:val="24"/>
                <w:szCs w:val="24"/>
                <w:highlight w:val="yellow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Кабель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4K HDR 4:4:4 60Hz HDMI Cable with CL3 Rating (3m/9.8ft)</w:t>
            </w:r>
            <w:r/>
          </w:p>
        </w:tc>
        <w:tc>
          <w:tcPr>
            <w:shd w:val="clear" w:color="auto" w:fill="auto"/>
            <w:tcW w:w="917" w:type="dxa"/>
            <w:textDirection w:val="lrTb"/>
            <w:noWrap w:val="false"/>
          </w:tcPr>
          <w:p>
            <w:pPr>
              <w:pStyle w:val="70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шт.</w:t>
            </w:r>
            <w:r/>
          </w:p>
        </w:tc>
        <w:tc>
          <w:tcPr>
            <w:shd w:val="clear" w:color="auto" w:fill="auto"/>
            <w:tcW w:w="1177" w:type="dxa"/>
            <w:textDirection w:val="lrTb"/>
            <w:noWrap w:val="false"/>
          </w:tcPr>
          <w:p>
            <w:pPr>
              <w:pStyle w:val="707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1</w:t>
            </w:r>
            <w:r/>
          </w:p>
        </w:tc>
      </w:tr>
      <w:tr>
        <w:trPr/>
        <w:tc>
          <w:tcPr>
            <w:shd w:val="clear" w:color="auto" w:fill="auto"/>
            <w:tcW w:w="529" w:type="dxa"/>
            <w:textDirection w:val="lrTb"/>
            <w:noWrap w:val="false"/>
          </w:tcPr>
          <w:p>
            <w:pPr>
              <w:pStyle w:val="70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6.</w:t>
            </w:r>
            <w:r/>
          </w:p>
        </w:tc>
        <w:tc>
          <w:tcPr>
            <w:shd w:val="clear" w:color="auto" w:fill="auto"/>
            <w:tcW w:w="7011" w:type="dxa"/>
            <w:textDirection w:val="lrTb"/>
            <w:noWrap w:val="false"/>
          </w:tcPr>
          <w:p>
            <w:pPr>
              <w:pStyle w:val="70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Кабель пристроїв USB Type-C-3.0A M/M 3.0m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Goobay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(USB3.0)</w:t>
            </w:r>
            <w:r/>
          </w:p>
          <w:p>
            <w:pPr>
              <w:pStyle w:val="70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3xS AWG28 D=4.0mm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Cu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Черний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(75.07.3141)</w:t>
            </w:r>
            <w:r/>
          </w:p>
        </w:tc>
        <w:tc>
          <w:tcPr>
            <w:shd w:val="clear" w:color="auto" w:fill="auto"/>
            <w:tcW w:w="917" w:type="dxa"/>
            <w:textDirection w:val="lrTb"/>
            <w:noWrap w:val="false"/>
          </w:tcPr>
          <w:p>
            <w:pPr>
              <w:pStyle w:val="70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шт.</w:t>
            </w:r>
            <w:r/>
          </w:p>
        </w:tc>
        <w:tc>
          <w:tcPr>
            <w:shd w:val="clear" w:color="auto" w:fill="auto"/>
            <w:tcW w:w="1177" w:type="dxa"/>
            <w:textDirection w:val="lrTb"/>
            <w:noWrap w:val="false"/>
          </w:tcPr>
          <w:p>
            <w:pPr>
              <w:pStyle w:val="707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10</w:t>
            </w:r>
            <w:r/>
          </w:p>
        </w:tc>
      </w:tr>
    </w:tbl>
    <w:p>
      <w:pPr>
        <w:ind w:firstLine="567"/>
        <w:jc w:val="both"/>
        <w:spacing w:after="0" w:line="240" w:lineRule="auto"/>
        <w:tabs>
          <w:tab w:val="left" w:pos="-2268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</w:r>
      <w:r/>
    </w:p>
    <w:p>
      <w:pPr>
        <w:ind w:firstLine="567"/>
        <w:jc w:val="both"/>
        <w:spacing w:after="0" w:line="240" w:lineRule="auto"/>
        <w:tabs>
          <w:tab w:val="left" w:pos="-2268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</w:r>
      <w:r/>
    </w:p>
    <w:p>
      <w:pPr>
        <w:ind w:firstLine="263"/>
        <w:jc w:val="both"/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У разі, якщо у цій тендерній документації (у тому числі у технічній специфікації) міститься посилання:</w:t>
      </w:r>
      <w:r/>
    </w:p>
    <w:p>
      <w:pPr>
        <w:ind w:firstLine="263"/>
        <w:jc w:val="both"/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- на стандартні характеристики, технічні регламенти та умови, вимоги, умовні позначення та термінологію, пов’язані з товарами, роботами чи послугами, що закуповуються, передбачені існуючими міжнародними, європейським</w:t>
      </w:r>
      <w:r>
        <w:rPr>
          <w:rFonts w:ascii="Times New Roman" w:hAnsi="Times New Roman" w:cs="Times New Roman"/>
          <w:i/>
          <w:sz w:val="24"/>
          <w:szCs w:val="24"/>
        </w:rPr>
        <w:t xml:space="preserve">и стандартами, іншими спільними технічними європейськими нормами, іншими технічними еталонними системами, визнаними європейськими органами зі стандартизації або національними стандартами, нормами та правилами – вважати, що міститься вираз «або еквівалент»;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- на ко</w:t>
      </w:r>
      <w:r>
        <w:rPr>
          <w:rFonts w:ascii="Times New Roman" w:hAnsi="Times New Roman" w:cs="Times New Roman"/>
          <w:i/>
          <w:sz w:val="24"/>
          <w:szCs w:val="24"/>
        </w:rPr>
        <w:t xml:space="preserve">нкретні марку чи виробника або на конкретний процес, що характеризує продукт чи послугу певного суб’єкта господарювання, чи на торгові марки, патенти, типи або конкретне місце походження чи спосіб виробництва – вважати, що міститься вираз «або еквівалент».</w:t>
      </w:r>
      <w:r/>
    </w:p>
    <w:p>
      <w:pPr>
        <w:ind w:firstLine="567"/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У випадку надання учасником еквіваленту він має надати порівняльну таблицю запропонованих товарів з товарами, які вимагаються Замовником. Якщо Учасник пропонує товар, технічні характеристики якого відрізняються від наведених вище, він повинен </w:t>
      </w:r>
      <w:r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обов’язково надати порівняльну таблицю щодо відповідності технічних характеристик запропонованого товару наведеним Замовником характеристикам. Товар має бути з технічними та якісними характеристиками рівноцінними, або покращеними, ніж визначені Замовником.</w:t>
      </w:r>
      <w:r/>
    </w:p>
    <w:p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contextualSpacing/>
        <w:jc w:val="both"/>
        <w:shd w:val="clear" w:color="auto" w:fill="ffffff"/>
        <w:rPr>
          <w:sz w:val="24"/>
          <w:szCs w:val="24"/>
        </w:rPr>
      </w:pPr>
      <w:r>
        <w:rPr>
          <w:sz w:val="24"/>
          <w:szCs w:val="24"/>
        </w:rPr>
      </w:r>
      <w:r/>
    </w:p>
    <w:p>
      <w:pPr>
        <w:ind w:right="-1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 xml:space="preserve">5. Обґрунтування розміру бюджетного призначення: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розмір бюджетного призначення визначено Законом України «Про Державний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бюджет України на 2023 рік» за КПКВК 1001050 «Реалізація державної політики у сфері внутрішніх справ, забезпечення виконання завдань і функцій органів, установ та закладів Міністерства внутрішніх справ України» відповідно до бюджетного запиту на 2023 рік. </w:t>
      </w:r>
      <w:r/>
    </w:p>
    <w:p>
      <w:pPr>
        <w:ind w:right="-1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/>
    </w:p>
    <w:p>
      <w:pPr>
        <w:ind w:right="-1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 xml:space="preserve">6. Очікувана вартість предмета закупівлі:</w:t>
      </w: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224 057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,00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грн. (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двісті двадцять чотири тисячі п’ятдесят сім гривень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00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коп.) з ПДВ. </w:t>
      </w:r>
      <w:r/>
    </w:p>
    <w:p>
      <w:pPr>
        <w:ind w:right="-1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/>
    </w:p>
    <w:p>
      <w:pPr>
        <w:ind w:right="-1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  <w:vertAlign w:val="superscript"/>
          <w:lang w:eastAsia="ru-RU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 xml:space="preserve">7. Обґрунтування </w:t>
      </w: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 xml:space="preserve">очікуваної вартості предмета закупівлі: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Очікувана вартість визначена відповідно до частини 1 та 2 пункту 1 Розділу ІІІ «Методи визначення очікуваної вартості» Примірної методики визначення очікува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ної вартості предмета закупівлі затвердженої Наказом Міністерства розвитку економіки, торгівлі та сільського господарства України 18.02.2020 № 275 та розрахована, як середньоарифметичне значення масиву отриманих даних, що розраховується за такою формулою: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Цод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= (Ц1 +… +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Цк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) / К.</w:t>
      </w:r>
      <w:r/>
    </w:p>
    <w:p>
      <w:pPr>
        <w:ind w:right="-1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  <w:vertAlign w:val="superscript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vertAlign w:val="superscript"/>
          <w:lang w:eastAsia="ru-RU"/>
        </w:rPr>
      </w:r>
      <w:r/>
    </w:p>
    <w:p>
      <w:pPr>
        <w:ind w:right="-1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/>
    </w:p>
    <w:p>
      <w:pPr>
        <w:ind w:right="-1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 xml:space="preserve">8. Процедура закупівлі: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Застосовується процедура відкритих торгів з особливостями.</w:t>
      </w:r>
      <w:r/>
    </w:p>
    <w:p>
      <w:pPr>
        <w:ind w:right="-1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/>
    </w:p>
    <w:sectPr>
      <w:footerReference w:type="default" r:id="rId9"/>
      <w:footnotePr/>
      <w:endnotePr/>
      <w:type w:val="nextPage"/>
      <w:pgSz w:w="11906" w:h="16838" w:orient="portrait"/>
      <w:pgMar w:top="709" w:right="851" w:bottom="851" w:left="1418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10000000000000000"/>
  </w:font>
  <w:font w:name="Courier New">
    <w:panose1 w:val="02070309020205020404"/>
  </w:font>
  <w:font w:name="Symbol">
    <w:panose1 w:val="05010000000000000000"/>
  </w:font>
  <w:font w:name="Tms Rmn">
    <w:panose1 w:val="020F0502020204030204"/>
  </w:font>
  <w:font w:name="Calibri">
    <w:panose1 w:val="020F0502020204030204"/>
  </w:font>
  <w:font w:name="Times New Roman">
    <w:panose1 w:val="02020603050405020304"/>
  </w:font>
  <w:font w:name="Arial">
    <w:panose1 w:val="020B0604020202020204"/>
  </w:font>
  <w:font w:name="Cambria">
    <w:panose1 w:val="020206030504050203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693"/>
      <w:rPr>
        <w:sz w:val="8"/>
      </w:rPr>
    </w:pPr>
    <w:r>
      <w:rPr>
        <w:sz w:val="8"/>
      </w:rPr>
    </w:r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</w:pPr>
      <w:rPr>
        <w:rFonts w:hint="default"/>
        <w:u w:val="none"/>
      </w:rPr>
    </w:lvl>
    <w:lvl w:ilvl="1">
      <w:start w:val="1"/>
      <w:numFmt w:val="decimal"/>
      <w:isLgl w:val="false"/>
      <w:suff w:val="space"/>
      <w:lvlText w:val="%1.%2."/>
      <w:lvlJc w:val="left"/>
      <w:pPr>
        <w:ind w:left="360" w:hanging="360"/>
      </w:pPr>
      <w:rPr>
        <w:rFonts w:hint="default"/>
        <w:u w:val="none"/>
      </w:rPr>
    </w:lvl>
    <w:lvl w:ilvl="2">
      <w:start w:val="1"/>
      <w:numFmt w:val="decimal"/>
      <w:isLgl w:val="false"/>
      <w:suff w:val="space"/>
      <w:lvlText w:val="%1.%2.%3."/>
      <w:lvlJc w:val="left"/>
      <w:pPr>
        <w:ind w:left="720" w:hanging="720"/>
      </w:pPr>
      <w:rPr>
        <w:rFonts w:hint="default"/>
        <w:u w:val="none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720" w:hanging="720"/>
      </w:pPr>
      <w:rPr>
        <w:rFonts w:hint="default"/>
        <w:u w:val="none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1080" w:hanging="1080"/>
      </w:pPr>
      <w:rPr>
        <w:rFonts w:hint="default"/>
        <w:u w:val="none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1080" w:hanging="1080"/>
      </w:pPr>
      <w:rPr>
        <w:rFonts w:hint="default"/>
        <w:u w:val="none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1080" w:hanging="1080"/>
      </w:pPr>
      <w:rPr>
        <w:rFonts w:hint="default"/>
        <w:u w:val="none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440" w:hanging="1440"/>
      </w:pPr>
      <w:rPr>
        <w:rFonts w:hint="default"/>
        <w:u w:val="none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440" w:hanging="1440"/>
      </w:pPr>
      <w:rPr>
        <w:rFonts w:hint="default"/>
        <w:u w:val="none"/>
      </w:rPr>
    </w:lvl>
  </w:abstractNum>
  <w:abstractNum w:abstractNumId="5">
    <w:multiLevelType w:val="hybridMultilevel"/>
    <w:lvl w:ilvl="0">
      <w:start w:val="1"/>
      <w:numFmt w:val="decimal"/>
      <w:isLgl w:val="false"/>
      <w:suff w:val="space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218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93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165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37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09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381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453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25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5978" w:hanging="180"/>
      </w:p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isLgl w:val="false"/>
      <w:suff w:val="space"/>
      <w:lvlText w:val="%1.%2"/>
      <w:lvlJc w:val="left"/>
      <w:pPr>
        <w:ind w:left="705" w:hanging="360"/>
      </w:pPr>
      <w:rPr>
        <w:rFonts w:hint="default"/>
      </w:rPr>
    </w:lvl>
    <w:lvl w:ilvl="2">
      <w:start w:val="1"/>
      <w:numFmt w:val="decimal"/>
      <w:isLgl w:val="false"/>
      <w:suff w:val="tab"/>
      <w:lvlText w:val="%1.%2.%3"/>
      <w:lvlJc w:val="left"/>
      <w:pPr>
        <w:ind w:left="1410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"/>
      <w:lvlJc w:val="left"/>
      <w:pPr>
        <w:ind w:left="1755" w:hanging="72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"/>
      <w:lvlJc w:val="left"/>
      <w:pPr>
        <w:ind w:left="2100" w:hanging="72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"/>
      <w:lvlJc w:val="left"/>
      <w:pPr>
        <w:ind w:left="2805" w:hanging="108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"/>
      <w:lvlJc w:val="left"/>
      <w:pPr>
        <w:ind w:left="3150" w:hanging="108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"/>
      <w:lvlJc w:val="left"/>
      <w:pPr>
        <w:ind w:left="3855" w:hanging="144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"/>
      <w:lvlJc w:val="left"/>
      <w:pPr>
        <w:ind w:left="4200" w:hanging="1440"/>
      </w:pPr>
      <w:rPr>
        <w:rFonts w:hint="default"/>
      </w:rPr>
    </w:lvl>
  </w:abstractNum>
  <w:abstractNum w:abstractNumId="8">
    <w:multiLevelType w:val="hybridMultilevel"/>
    <w:lvl w:ilvl="0">
      <w:start w:val="900"/>
      <w:numFmt w:val="bullet"/>
      <w:isLgl w:val="false"/>
      <w:suff w:val="tab"/>
      <w:lvlText w:val="-"/>
      <w:lvlJc w:val="left"/>
      <w:pPr>
        <w:ind w:left="644" w:hanging="360"/>
      </w:pPr>
      <w:rPr>
        <w:rFonts w:hint="default" w:ascii="Times New Roman" w:hAnsi="Times New Roman" w:eastAsia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364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084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04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24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244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4964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684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04" w:hanging="360"/>
      </w:pPr>
      <w:rPr>
        <w:rFonts w:hint="default" w:ascii="Wingdings" w:hAnsi="Wingdings"/>
      </w:rPr>
    </w:lvl>
  </w:abstractNum>
  <w:abstractNum w:abstractNumId="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0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>
    <w:multiLevelType w:val="hybridMultilevel"/>
    <w:lvl w:ilvl="0">
      <w:start w:val="1"/>
      <w:numFmt w:val="bullet"/>
      <w:isLgl w:val="false"/>
      <w:suff w:val="space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2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44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60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76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13">
    <w:multiLevelType w:val="hybridMultilevel"/>
    <w:lvl w:ilvl="0">
      <w:start w:val="1"/>
      <w:numFmt w:val="decimal"/>
      <w:isLgl w:val="false"/>
      <w:suff w:val="space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4">
    <w:multiLevelType w:val="hybridMultilevel"/>
    <w:lvl w:ilvl="0">
      <w:start w:val="2"/>
      <w:numFmt w:val="decimal"/>
      <w:isLgl w:val="false"/>
      <w:suff w:val="tab"/>
      <w:lvlText w:val="%1."/>
      <w:lvlJc w:val="left"/>
      <w:pPr>
        <w:ind w:left="360" w:hanging="360"/>
      </w:pPr>
      <w:rPr>
        <w:rFonts w:hint="default"/>
        <w:u w:val="none"/>
      </w:rPr>
    </w:lvl>
    <w:lvl w:ilvl="1">
      <w:start w:val="1"/>
      <w:numFmt w:val="decimal"/>
      <w:isLgl w:val="false"/>
      <w:suff w:val="tab"/>
      <w:lvlText w:val="%1.%2."/>
      <w:lvlJc w:val="left"/>
      <w:pPr>
        <w:ind w:left="716" w:hanging="360"/>
      </w:pPr>
      <w:rPr>
        <w:rFonts w:hint="default"/>
        <w:u w:val="none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432" w:hanging="720"/>
      </w:pPr>
      <w:rPr>
        <w:rFonts w:hint="default"/>
        <w:u w:val="none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788" w:hanging="720"/>
      </w:pPr>
      <w:rPr>
        <w:rFonts w:hint="default"/>
        <w:u w:val="none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504" w:hanging="1080"/>
      </w:pPr>
      <w:rPr>
        <w:rFonts w:hint="default"/>
        <w:u w:val="none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2860" w:hanging="1080"/>
      </w:pPr>
      <w:rPr>
        <w:rFonts w:hint="default"/>
        <w:u w:val="none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216" w:hanging="1080"/>
      </w:pPr>
      <w:rPr>
        <w:rFonts w:hint="default"/>
        <w:u w:val="none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932" w:hanging="1440"/>
      </w:pPr>
      <w:rPr>
        <w:rFonts w:hint="default"/>
        <w:u w:val="none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288" w:hanging="1440"/>
      </w:pPr>
      <w:rPr>
        <w:rFonts w:hint="default"/>
        <w:u w:val="none"/>
      </w:rPr>
    </w:lvl>
  </w:abstractNum>
  <w:abstractNum w:abstractNumId="1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6">
    <w:multiLevelType w:val="hybridMultilevel"/>
    <w:lvl w:ilvl="0">
      <w:start w:val="1"/>
      <w:numFmt w:val="decimal"/>
      <w:isLgl w:val="false"/>
      <w:suff w:val="tab"/>
      <w:lvlText w:val="%1"/>
      <w:lvlJc w:val="left"/>
      <w:pPr>
        <w:ind w:left="405" w:hanging="405"/>
      </w:pPr>
      <w:rPr>
        <w:rFonts w:hint="default"/>
      </w:rPr>
    </w:lvl>
    <w:lvl w:ilvl="1">
      <w:start w:val="2"/>
      <w:numFmt w:val="decimal"/>
      <w:isLgl w:val="false"/>
      <w:suff w:val="tab"/>
      <w:lvlText w:val="%1.%2"/>
      <w:lvlJc w:val="left"/>
      <w:pPr>
        <w:ind w:left="583" w:hanging="405"/>
      </w:pPr>
      <w:rPr>
        <w:rFonts w:hint="default"/>
      </w:rPr>
    </w:lvl>
    <w:lvl w:ilvl="2">
      <w:start w:val="4"/>
      <w:numFmt w:val="decimal"/>
      <w:isLgl w:val="false"/>
      <w:suff w:val="space"/>
      <w:lvlText w:val="%1.%2.%3"/>
      <w:lvlJc w:val="left"/>
      <w:pPr>
        <w:ind w:left="1076" w:hanging="720"/>
      </w:pPr>
      <w:rPr>
        <w:rFonts w:hint="default"/>
        <w:i w:val="0"/>
      </w:rPr>
    </w:lvl>
    <w:lvl w:ilvl="3">
      <w:start w:val="1"/>
      <w:numFmt w:val="decimal"/>
      <w:isLgl w:val="false"/>
      <w:suff w:val="tab"/>
      <w:lvlText w:val="%1.%2.%3.%4"/>
      <w:lvlJc w:val="left"/>
      <w:pPr>
        <w:ind w:left="1254" w:hanging="72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"/>
      <w:lvlJc w:val="left"/>
      <w:pPr>
        <w:ind w:left="1432" w:hanging="72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"/>
      <w:lvlJc w:val="left"/>
      <w:pPr>
        <w:ind w:left="1970" w:hanging="108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"/>
      <w:lvlJc w:val="left"/>
      <w:pPr>
        <w:ind w:left="2148" w:hanging="108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"/>
      <w:lvlJc w:val="left"/>
      <w:pPr>
        <w:ind w:left="2686" w:hanging="144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"/>
      <w:lvlJc w:val="left"/>
      <w:pPr>
        <w:ind w:left="2864" w:hanging="1440"/>
      </w:pPr>
      <w:rPr>
        <w:rFonts w:hint="default"/>
      </w:rPr>
    </w:lvl>
  </w:abstractNum>
  <w:abstractNum w:abstractNumId="17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44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60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76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num w:numId="1">
    <w:abstractNumId w:val="13"/>
  </w:num>
  <w:num w:numId="2">
    <w:abstractNumId w:val="10"/>
  </w:num>
  <w:num w:numId="3">
    <w:abstractNumId w:val="5"/>
  </w:num>
  <w:num w:numId="4">
    <w:abstractNumId w:val="11"/>
  </w:num>
  <w:num w:numId="5">
    <w:abstractNumId w:val="4"/>
  </w:num>
  <w:num w:numId="6">
    <w:abstractNumId w:val="14"/>
  </w:num>
  <w:num w:numId="7">
    <w:abstractNumId w:val="7"/>
  </w:num>
  <w:num w:numId="8">
    <w:abstractNumId w:val="16"/>
  </w:num>
  <w:num w:numId="9">
    <w:abstractNumId w:val="1"/>
  </w:num>
  <w:num w:numId="1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8"/>
  </w:num>
  <w:num w:numId="12">
    <w:abstractNumId w:val="6"/>
  </w:num>
  <w:num w:numId="13">
    <w:abstractNumId w:val="2"/>
  </w:num>
  <w:num w:numId="1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3"/>
  </w:num>
  <w:num w:numId="16">
    <w:abstractNumId w:val="15"/>
  </w:num>
  <w:num w:numId="17">
    <w:abstractNumId w:val="0"/>
  </w:num>
  <w:num w:numId="18">
    <w:abstractNumId w:val="17"/>
  </w:num>
  <w:num w:numId="1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682"/>
    <w:next w:val="682"/>
    <w:link w:val="1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684"/>
    <w:link w:val="13"/>
    <w:uiPriority w:val="9"/>
    <w:rPr>
      <w:rFonts w:ascii="Arial" w:hAnsi="Arial" w:eastAsia="Arial" w:cs="Arial"/>
      <w:sz w:val="40"/>
      <w:szCs w:val="40"/>
    </w:rPr>
  </w:style>
  <w:style w:type="character" w:styleId="16">
    <w:name w:val="Heading 2 Char"/>
    <w:basedOn w:val="684"/>
    <w:link w:val="683"/>
    <w:uiPriority w:val="9"/>
    <w:rPr>
      <w:rFonts w:ascii="Arial" w:hAnsi="Arial" w:eastAsia="Arial" w:cs="Arial"/>
      <w:sz w:val="34"/>
    </w:rPr>
  </w:style>
  <w:style w:type="paragraph" w:styleId="17">
    <w:name w:val="Heading 3"/>
    <w:basedOn w:val="682"/>
    <w:next w:val="682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684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682"/>
    <w:next w:val="682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684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682"/>
    <w:next w:val="682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684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682"/>
    <w:next w:val="682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684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82"/>
    <w:next w:val="682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684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82"/>
    <w:next w:val="682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684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82"/>
    <w:next w:val="682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684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4">
    <w:name w:val="Title"/>
    <w:basedOn w:val="682"/>
    <w:next w:val="682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684"/>
    <w:link w:val="34"/>
    <w:uiPriority w:val="10"/>
    <w:rPr>
      <w:sz w:val="48"/>
      <w:szCs w:val="48"/>
    </w:rPr>
  </w:style>
  <w:style w:type="paragraph" w:styleId="36">
    <w:name w:val="Subtitle"/>
    <w:basedOn w:val="682"/>
    <w:next w:val="682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684"/>
    <w:link w:val="36"/>
    <w:uiPriority w:val="11"/>
    <w:rPr>
      <w:sz w:val="24"/>
      <w:szCs w:val="24"/>
    </w:rPr>
  </w:style>
  <w:style w:type="paragraph" w:styleId="38">
    <w:name w:val="Quote"/>
    <w:basedOn w:val="682"/>
    <w:next w:val="682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682"/>
    <w:next w:val="682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paragraph" w:styleId="42">
    <w:name w:val="Header"/>
    <w:basedOn w:val="682"/>
    <w:link w:val="4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3">
    <w:name w:val="Header Char"/>
    <w:basedOn w:val="684"/>
    <w:link w:val="42"/>
    <w:uiPriority w:val="99"/>
  </w:style>
  <w:style w:type="character" w:styleId="45">
    <w:name w:val="Footer Char"/>
    <w:basedOn w:val="684"/>
    <w:link w:val="693"/>
    <w:uiPriority w:val="99"/>
  </w:style>
  <w:style w:type="paragraph" w:styleId="46">
    <w:name w:val="Caption"/>
    <w:basedOn w:val="682"/>
    <w:next w:val="682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46"/>
    <w:link w:val="693"/>
    <w:uiPriority w:val="99"/>
  </w:style>
  <w:style w:type="table" w:styleId="49">
    <w:name w:val="Table Grid Light"/>
    <w:basedOn w:val="685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685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685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68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68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68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68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68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68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68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148">
    <w:name w:val="List Table 7 Colorful - Accent 2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149">
    <w:name w:val="List Table 7 Colorful - Accent 3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150">
    <w:name w:val="List Table 7 Colorful - Accent 4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151">
    <w:name w:val="List Table 7 Colorful - Accent 5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152">
    <w:name w:val="List Table 7 Colorful - Accent 6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153">
    <w:name w:val="Lined - Accent"/>
    <w:basedOn w:val="68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68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55">
    <w:name w:val="Lined - Accent 2"/>
    <w:basedOn w:val="68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56">
    <w:name w:val="Lined - Accent 3"/>
    <w:basedOn w:val="68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57">
    <w:name w:val="Lined - Accent 4"/>
    <w:basedOn w:val="68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58">
    <w:name w:val="Lined - Accent 5"/>
    <w:basedOn w:val="68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59">
    <w:name w:val="Lined - Accent 6"/>
    <w:basedOn w:val="68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0">
    <w:name w:val="Bordered &amp; Lined - Accent"/>
    <w:basedOn w:val="68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68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62">
    <w:name w:val="Bordered &amp; Lined - Accent 2"/>
    <w:basedOn w:val="68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63">
    <w:name w:val="Bordered &amp; Lined - Accent 3"/>
    <w:basedOn w:val="68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64">
    <w:name w:val="Bordered &amp; Lined - Accent 4"/>
    <w:basedOn w:val="68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65">
    <w:name w:val="Bordered &amp; Lined - Accent 5"/>
    <w:basedOn w:val="68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66">
    <w:name w:val="Bordered &amp; Lined - Accent 6"/>
    <w:basedOn w:val="68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7">
    <w:name w:val="Bordered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175">
    <w:name w:val="footnote text"/>
    <w:basedOn w:val="682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684"/>
    <w:uiPriority w:val="99"/>
    <w:unhideWhenUsed/>
    <w:rPr>
      <w:vertAlign w:val="superscript"/>
    </w:rPr>
  </w:style>
  <w:style w:type="paragraph" w:styleId="178">
    <w:name w:val="endnote text"/>
    <w:basedOn w:val="682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684"/>
    <w:uiPriority w:val="99"/>
    <w:semiHidden/>
    <w:unhideWhenUsed/>
    <w:rPr>
      <w:vertAlign w:val="superscript"/>
    </w:rPr>
  </w:style>
  <w:style w:type="paragraph" w:styleId="181">
    <w:name w:val="toc 1"/>
    <w:basedOn w:val="682"/>
    <w:next w:val="682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682"/>
    <w:next w:val="682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682"/>
    <w:next w:val="682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682"/>
    <w:next w:val="682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682"/>
    <w:next w:val="682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682"/>
    <w:next w:val="682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682"/>
    <w:next w:val="682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682"/>
    <w:next w:val="682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682"/>
    <w:next w:val="682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682"/>
    <w:next w:val="682"/>
    <w:uiPriority w:val="99"/>
    <w:unhideWhenUsed/>
    <w:pPr>
      <w:spacing w:after="0" w:afterAutospacing="0"/>
    </w:pPr>
  </w:style>
  <w:style w:type="paragraph" w:styleId="682" w:default="1">
    <w:name w:val="Normal"/>
    <w:qFormat/>
    <w:rPr>
      <w:lang w:val="uk-UA"/>
    </w:rPr>
  </w:style>
  <w:style w:type="paragraph" w:styleId="683">
    <w:name w:val="Heading 2"/>
    <w:basedOn w:val="682"/>
    <w:link w:val="702"/>
    <w:uiPriority w:val="9"/>
    <w:qFormat/>
    <w:pPr>
      <w:spacing w:before="100" w:beforeAutospacing="1" w:after="100" w:afterAutospacing="1" w:line="240" w:lineRule="auto"/>
      <w:outlineLvl w:val="1"/>
    </w:pPr>
    <w:rPr>
      <w:rFonts w:ascii="Times New Roman" w:hAnsi="Times New Roman" w:eastAsia="Times New Roman" w:cs="Times New Roman"/>
      <w:b/>
      <w:bCs/>
      <w:sz w:val="36"/>
      <w:szCs w:val="36"/>
      <w:lang w:eastAsia="uk-UA"/>
    </w:rPr>
  </w:style>
  <w:style w:type="character" w:styleId="684" w:default="1">
    <w:name w:val="Default Paragraph Font"/>
    <w:uiPriority w:val="1"/>
    <w:semiHidden/>
    <w:unhideWhenUsed/>
  </w:style>
  <w:style w:type="table" w:styleId="685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86" w:default="1">
    <w:name w:val="No List"/>
    <w:uiPriority w:val="99"/>
    <w:semiHidden/>
    <w:unhideWhenUsed/>
  </w:style>
  <w:style w:type="paragraph" w:styleId="687">
    <w:name w:val="List Paragraph"/>
    <w:basedOn w:val="682"/>
    <w:link w:val="688"/>
    <w:uiPriority w:val="34"/>
    <w:qFormat/>
    <w:pPr>
      <w:contextualSpacing/>
      <w:ind w:left="720"/>
      <w:spacing w:after="200" w:line="276" w:lineRule="auto"/>
    </w:pPr>
    <w:rPr>
      <w:rFonts w:ascii="Calibri" w:hAnsi="Calibri" w:eastAsia="Calibri" w:cs="Calibri"/>
      <w:lang w:val="ru-RU" w:eastAsia="zh-CN"/>
    </w:rPr>
  </w:style>
  <w:style w:type="character" w:styleId="688" w:customStyle="1">
    <w:name w:val="Абзац списку Знак"/>
    <w:link w:val="687"/>
    <w:uiPriority w:val="34"/>
    <w:rPr>
      <w:rFonts w:ascii="Calibri" w:hAnsi="Calibri" w:eastAsia="Calibri" w:cs="Calibri"/>
      <w:lang w:eastAsia="zh-CN"/>
    </w:rPr>
  </w:style>
  <w:style w:type="table" w:styleId="689">
    <w:name w:val="Table Grid"/>
    <w:basedOn w:val="685"/>
    <w:uiPriority w:val="3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690" w:customStyle="1">
    <w:name w:val="Сетка таблицы2"/>
    <w:basedOn w:val="685"/>
    <w:next w:val="689"/>
    <w:uiPriority w:val="39"/>
    <w:pPr>
      <w:spacing w:after="0" w:line="240" w:lineRule="auto"/>
    </w:pPr>
    <w:rPr>
      <w:rFonts w:ascii="Times New Roman" w:hAnsi="Times New Roman" w:eastAsia="Calibri" w:cs="Times New Roman"/>
      <w:sz w:val="20"/>
      <w:szCs w:val="20"/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691">
    <w:name w:val="Normal (Web)"/>
    <w:basedOn w:val="682"/>
    <w:link w:val="698"/>
    <w:unhideWhenUsed/>
    <w:qFormat/>
    <w:rPr>
      <w:rFonts w:ascii="Times New Roman" w:hAnsi="Times New Roman" w:cs="Times New Roman"/>
      <w:sz w:val="24"/>
      <w:szCs w:val="24"/>
    </w:rPr>
  </w:style>
  <w:style w:type="table" w:styleId="692" w:customStyle="1">
    <w:name w:val="Сетка таблицы1"/>
    <w:basedOn w:val="685"/>
    <w:next w:val="689"/>
    <w:uiPriority w:val="39"/>
    <w:pPr>
      <w:spacing w:after="0" w:line="240" w:lineRule="auto"/>
    </w:pPr>
    <w:rPr>
      <w:rFonts w:ascii="Times New Roman" w:hAnsi="Times New Roman"/>
      <w:sz w:val="28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693">
    <w:name w:val="Footer"/>
    <w:basedOn w:val="682"/>
    <w:link w:val="694"/>
    <w:uiPriority w:val="99"/>
    <w:unhideWhenUsed/>
    <w:pPr>
      <w:spacing w:after="0" w:line="240" w:lineRule="auto"/>
      <w:tabs>
        <w:tab w:val="center" w:pos="4819" w:leader="none"/>
        <w:tab w:val="right" w:pos="9639" w:leader="none"/>
      </w:tabs>
    </w:pPr>
    <w:rPr>
      <w:rFonts w:ascii="Calibri" w:hAnsi="Calibri" w:eastAsia="Calibri" w:cs="Calibri"/>
      <w:lang w:val="ru-RU" w:eastAsia="zh-CN"/>
    </w:rPr>
  </w:style>
  <w:style w:type="character" w:styleId="694" w:customStyle="1">
    <w:name w:val="Нижній колонтитул Знак"/>
    <w:basedOn w:val="684"/>
    <w:link w:val="693"/>
    <w:uiPriority w:val="99"/>
    <w:rPr>
      <w:rFonts w:ascii="Calibri" w:hAnsi="Calibri" w:eastAsia="Calibri" w:cs="Calibri"/>
      <w:lang w:eastAsia="zh-CN"/>
    </w:rPr>
  </w:style>
  <w:style w:type="paragraph" w:styleId="695" w:customStyle="1">
    <w:name w:val="FR1"/>
    <w:pPr>
      <w:ind w:left="40"/>
      <w:jc w:val="both"/>
      <w:spacing w:after="0" w:line="240" w:lineRule="auto"/>
      <w:widowControl w:val="off"/>
    </w:pPr>
    <w:rPr>
      <w:rFonts w:ascii="Calibri" w:hAnsi="Calibri" w:eastAsia="Calibri" w:cs="Times New Roman"/>
      <w:sz w:val="20"/>
      <w:szCs w:val="20"/>
      <w:lang w:val="uk-UA"/>
    </w:rPr>
  </w:style>
  <w:style w:type="character" w:styleId="696">
    <w:name w:val="Hyperlink"/>
    <w:basedOn w:val="684"/>
    <w:uiPriority w:val="99"/>
    <w:unhideWhenUsed/>
    <w:rPr>
      <w:color w:val="0563c1" w:themeColor="hyperlink"/>
      <w:u w:val="single"/>
    </w:rPr>
  </w:style>
  <w:style w:type="character" w:styleId="697" w:customStyle="1">
    <w:name w:val="xfm_93972720"/>
    <w:basedOn w:val="684"/>
  </w:style>
  <w:style w:type="character" w:styleId="698" w:customStyle="1">
    <w:name w:val="Звичайний (веб) Знак"/>
    <w:link w:val="691"/>
    <w:qFormat/>
    <w:rPr>
      <w:rFonts w:ascii="Times New Roman" w:hAnsi="Times New Roman" w:cs="Times New Roman"/>
      <w:sz w:val="24"/>
      <w:szCs w:val="24"/>
      <w:lang w:val="uk-UA"/>
    </w:rPr>
  </w:style>
  <w:style w:type="paragraph" w:styleId="699">
    <w:name w:val="Body Text 2"/>
    <w:basedOn w:val="682"/>
    <w:link w:val="700"/>
    <w:pPr>
      <w:spacing w:after="0" w:line="240" w:lineRule="auto"/>
    </w:pPr>
    <w:rPr>
      <w:rFonts w:ascii="Times New Roman" w:hAnsi="Times New Roman" w:eastAsia="Times New Roman" w:cs="Times New Roman"/>
      <w:sz w:val="28"/>
      <w:szCs w:val="20"/>
      <w:lang w:val="ru-RU" w:eastAsia="ru-RU"/>
    </w:rPr>
  </w:style>
  <w:style w:type="character" w:styleId="700" w:customStyle="1">
    <w:name w:val="Основний текст 2 Знак"/>
    <w:basedOn w:val="684"/>
    <w:link w:val="699"/>
    <w:rPr>
      <w:rFonts w:ascii="Times New Roman" w:hAnsi="Times New Roman" w:eastAsia="Times New Roman" w:cs="Times New Roman"/>
      <w:sz w:val="28"/>
      <w:szCs w:val="20"/>
      <w:lang w:eastAsia="ru-RU"/>
    </w:rPr>
  </w:style>
  <w:style w:type="paragraph" w:styleId="701" w:customStyle="1">
    <w:name w:val="Default"/>
    <w:pPr>
      <w:spacing w:after="0" w:line="240" w:lineRule="auto"/>
    </w:pPr>
    <w:rPr>
      <w:rFonts w:ascii="Times New Roman" w:hAnsi="Times New Roman" w:eastAsia="Calibri" w:cs="Times New Roman"/>
      <w:color w:val="000000"/>
      <w:sz w:val="24"/>
      <w:szCs w:val="24"/>
      <w:lang w:val="uk-UA" w:eastAsia="uk-UA"/>
    </w:rPr>
  </w:style>
  <w:style w:type="character" w:styleId="702" w:customStyle="1">
    <w:name w:val="Заголовок 2 Знак"/>
    <w:basedOn w:val="684"/>
    <w:link w:val="683"/>
    <w:uiPriority w:val="9"/>
    <w:rPr>
      <w:rFonts w:ascii="Times New Roman" w:hAnsi="Times New Roman" w:eastAsia="Times New Roman" w:cs="Times New Roman"/>
      <w:b/>
      <w:bCs/>
      <w:sz w:val="36"/>
      <w:szCs w:val="36"/>
      <w:lang w:val="uk-UA" w:eastAsia="uk-UA"/>
    </w:rPr>
  </w:style>
  <w:style w:type="paragraph" w:styleId="703">
    <w:name w:val="No Spacing"/>
    <w:link w:val="704"/>
    <w:uiPriority w:val="1"/>
    <w:qFormat/>
    <w:pPr>
      <w:spacing w:after="0" w:line="240" w:lineRule="auto"/>
    </w:pPr>
    <w:rPr>
      <w:rFonts w:ascii="Calibri" w:hAnsi="Calibri" w:eastAsia="Calibri" w:cs="Times New Roman"/>
      <w:lang w:val="uk-UA"/>
    </w:rPr>
  </w:style>
  <w:style w:type="character" w:styleId="704" w:customStyle="1">
    <w:name w:val="Без інтервалів Знак"/>
    <w:basedOn w:val="684"/>
    <w:link w:val="703"/>
    <w:uiPriority w:val="1"/>
    <w:rPr>
      <w:rFonts w:ascii="Calibri" w:hAnsi="Calibri" w:eastAsia="Calibri" w:cs="Times New Roman"/>
      <w:lang w:val="uk-UA"/>
    </w:rPr>
  </w:style>
  <w:style w:type="character" w:styleId="705" w:customStyle="1">
    <w:name w:val="Другое_"/>
    <w:basedOn w:val="684"/>
    <w:link w:val="706"/>
    <w:rPr>
      <w:rFonts w:ascii="Calibri" w:hAnsi="Calibri" w:eastAsia="Calibri" w:cs="Calibri"/>
      <w:sz w:val="20"/>
      <w:szCs w:val="20"/>
    </w:rPr>
  </w:style>
  <w:style w:type="paragraph" w:styleId="706" w:customStyle="1">
    <w:name w:val="Другое"/>
    <w:basedOn w:val="682"/>
    <w:link w:val="705"/>
    <w:pPr>
      <w:spacing w:after="0" w:line="240" w:lineRule="auto"/>
      <w:widowControl w:val="off"/>
    </w:pPr>
    <w:rPr>
      <w:rFonts w:ascii="Calibri" w:hAnsi="Calibri" w:eastAsia="Calibri" w:cs="Calibri"/>
      <w:sz w:val="20"/>
      <w:szCs w:val="20"/>
      <w:lang w:val="ru-RU"/>
    </w:rPr>
  </w:style>
  <w:style w:type="paragraph" w:styleId="707" w:customStyle="1">
    <w:name w:val="Звичайний1"/>
    <w:qFormat/>
    <w:pPr>
      <w:spacing w:after="0" w:line="240" w:lineRule="auto"/>
    </w:pPr>
    <w:rPr>
      <w:rFonts w:ascii="Tms Rmn" w:hAnsi="Tms Rmn" w:eastAsia="Times New Roman" w:cs="Times New Roman"/>
      <w:sz w:val="20"/>
      <w:szCs w:val="20"/>
      <w:lang w:val="uk-UA" w:eastAsia="ru-RU" w:bidi="te-IN"/>
    </w:rPr>
  </w:style>
  <w:style w:type="character" w:styleId="708" w:customStyle="1">
    <w:name w:val="Основной текст (2)_"/>
    <w:basedOn w:val="684"/>
    <w:link w:val="709"/>
    <w:rPr>
      <w:rFonts w:eastAsia="Times New Roman" w:cs="Times New Roman"/>
      <w:shd w:val="clear" w:color="auto" w:fill="ffffff"/>
    </w:rPr>
  </w:style>
  <w:style w:type="paragraph" w:styleId="709" w:customStyle="1">
    <w:name w:val="Основной текст (2)"/>
    <w:basedOn w:val="682"/>
    <w:link w:val="708"/>
    <w:pPr>
      <w:ind w:hanging="700"/>
      <w:jc w:val="both"/>
      <w:spacing w:before="240" w:after="480" w:line="0" w:lineRule="atLeast"/>
      <w:shd w:val="clear" w:color="auto" w:fill="ffffff"/>
      <w:widowControl w:val="off"/>
    </w:pPr>
    <w:rPr>
      <w:rFonts w:eastAsia="Times New Roman" w:cs="Times New Roman"/>
      <w:lang w:val="ru-RU"/>
    </w:rPr>
  </w:style>
  <w:style w:type="paragraph" w:styleId="710" w:customStyle="1">
    <w:name w:val="Абзац списка1"/>
    <w:basedOn w:val="682"/>
    <w:pPr>
      <w:ind w:firstLine="737"/>
      <w:jc w:val="both"/>
      <w:spacing w:before="120" w:after="0" w:line="240" w:lineRule="auto"/>
    </w:pPr>
    <w:rPr>
      <w:rFonts w:ascii="Times New Roman" w:hAnsi="Times New Roman" w:eastAsia="Times New Roman" w:cs="Times New Roman"/>
      <w:sz w:val="24"/>
      <w:szCs w:val="24"/>
      <w:lang w:val="ru-RU" w:eastAsia="ar-SA"/>
    </w:rPr>
  </w:style>
  <w:style w:type="character" w:styleId="711" w:customStyle="1">
    <w:name w:val="docdata"/>
    <w:basedOn w:val="684"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footer" Target="footer1.xml" /><Relationship Id="rId10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3C65B9-6C17-4B00-95F1-8E64DA3633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ONLYOFFICE/7.3.3.49</Application>
  <Company>SPecialiST RePack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ВЮС 2</dc:creator>
  <cp:keywords/>
  <dc:description/>
  <cp:lastModifiedBy>Павріанідіс Аліса Віталіївна</cp:lastModifiedBy>
  <cp:revision>119</cp:revision>
  <dcterms:created xsi:type="dcterms:W3CDTF">2022-11-01T12:47:00Z</dcterms:created>
  <dcterms:modified xsi:type="dcterms:W3CDTF">2023-06-24T08:07:16Z</dcterms:modified>
</cp:coreProperties>
</file>