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Закупівля вогнегасників, вказівників, пожежного щита та пожежної колонки за кодом CPV за ЄЗС ДК 021:2015: 35110000-8 Протипожежне, рятувальне та захисне обладнання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011294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Закупівля вогнегасників, вказівників, пожежного щита та пожежної колонки</w:t>
      </w:r>
      <w:r>
        <w:rPr>
          <w:color w:val="000000"/>
          <w:sz w:val="24"/>
          <w:szCs w:val="24"/>
        </w:rPr>
        <w:t xml:space="preserve"> 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Вогнегасники порошкові ВП-9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Вогнегасники вуглекислотні ВВК-3,5 (з</w:t>
            </w:r>
            <w:r>
              <w:rPr>
                <w:b/>
                <w:bCs/>
                <w:color w:val="000000"/>
              </w:rPr>
              <w:br/>
              <w:t xml:space="preserve">гумовими підставками)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20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Вогнегасники вуглекислотні ВВК-2 (з</w:t>
            </w:r>
            <w:r>
              <w:rPr>
                <w:b/>
                <w:bCs/>
                <w:color w:val="000000"/>
              </w:rPr>
              <w:br/>
              <w:t xml:space="preserve">гумовими підставками)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50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Пожежну колонку типу ПК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Зовнішній пожежний щит з металевим</w:t>
            </w:r>
            <w:r>
              <w:rPr>
                <w:b/>
                <w:bCs/>
                <w:color w:val="000000"/>
              </w:rPr>
              <w:br/>
              <w:t xml:space="preserve">ящиком та комплектуючими засобами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Вказівники самоклеючі пожежних кранів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Вказівники самоклеючі пожежних</w:t>
            </w:r>
            <w:r>
              <w:rPr>
                <w:b/>
                <w:bCs/>
                <w:color w:val="000000"/>
              </w:rPr>
              <w:br/>
              <w:t xml:space="preserve">вогнегасників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85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Вказівники «Евакуаційний вихід »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12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Вказівники «Стрілка напрямку на шлях</w:t>
            </w:r>
            <w:r>
              <w:rPr>
                <w:b/>
                <w:bCs/>
                <w:color w:val="000000"/>
              </w:rPr>
              <w:br/>
              <w:t xml:space="preserve">евакуації»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12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8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1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(Товар),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,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документу,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виготовленої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діючим</w:t>
      </w:r>
      <w:r>
        <w:rPr>
          <w:rFonts w:ascii="Times New Roman" w:hAnsi="Times New Roman" w:cs="Times New Roman"/>
          <w:sz w:val="24"/>
          <w:szCs w:val="24"/>
        </w:rPr>
        <w:t xml:space="preserve"> стандартам </w:t>
      </w:r>
      <w:r>
        <w:rPr>
          <w:rFonts w:ascii="Times New Roman" w:hAnsi="Times New Roman" w:cs="Times New Roman"/>
          <w:sz w:val="24"/>
          <w:szCs w:val="24"/>
        </w:rPr>
        <w:t xml:space="preserve">якості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нормативним</w:t>
      </w:r>
      <w:r>
        <w:rPr>
          <w:rFonts w:ascii="Times New Roman" w:hAnsi="Times New Roman" w:cs="Times New Roman"/>
          <w:sz w:val="24"/>
          <w:szCs w:val="24"/>
        </w:rPr>
        <w:t xml:space="preserve"> документам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сертифікованим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разі необхідності сертифікації Товару).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bookmarkEnd w:id="0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115 238,00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п’ятнадцять тисяч двісті тридцять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87</cp:revision>
  <dcterms:created xsi:type="dcterms:W3CDTF">2022-11-01T12:47:00Z</dcterms:created>
  <dcterms:modified xsi:type="dcterms:W3CDTF">2023-05-30T10:52:00Z</dcterms:modified>
</cp:coreProperties>
</file>