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6"/>
        <w:jc w:val="both"/>
        <w:spacing w:before="0" w:beforeAutospacing="0" w:after="0" w:afterAutospacing="0"/>
        <w:shd w:val="clear" w:color="auto" w:fill="ffffff" w:themeFill="background1"/>
        <w:rPr>
          <w:rStyle w:val="699"/>
          <w:color w:val="auto"/>
          <w:sz w:val="24"/>
          <w:szCs w:val="24"/>
          <w:u w:val="none"/>
        </w:rPr>
      </w:pPr>
      <w:r>
        <w:rPr>
          <w:sz w:val="24"/>
          <w:szCs w:val="24"/>
        </w:rPr>
        <w:t xml:space="preserve">2.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sz w:val="24"/>
          <w:szCs w:val="24"/>
        </w:rPr>
        <w:t xml:space="preserve"> </w:t>
      </w:r>
      <w:hyperlink r:id="rId11" w:tooltip="https://www.dzo.com.ua/tenders/17227183" w:history="1">
        <w:bookmarkStart w:id="0" w:name="_Hlk113270909"/>
        <w:bookmarkStart w:id="1" w:name="_Hlk113271218"/>
        <w:r>
          <w:rPr>
            <w:sz w:val="24"/>
            <w:szCs w:val="24"/>
          </w:rPr>
          <w:t xml:space="preserve"> </w:t>
        </w:r>
        <w:r>
          <w:rPr>
            <w:b w:val="0"/>
            <w:bCs w:val="0"/>
            <w:sz w:val="24"/>
            <w:szCs w:val="24"/>
          </w:rPr>
          <w:t xml:space="preserve">Послуги з </w:t>
        </w:r>
        <w:bookmarkStart w:id="2" w:name="_Hlk113270944"/>
        <w:r>
          <w:rPr>
            <w:b w:val="0"/>
            <w:bCs w:val="0"/>
            <w:sz w:val="24"/>
            <w:szCs w:val="24"/>
          </w:rPr>
          <w:t xml:space="preserve">доопрацювання комп’ютерної програми </w:t>
        </w:r>
        <w:bookmarkEnd w:id="0"/>
        <w:bookmarkEnd w:id="2"/>
        <w:r>
          <w:rPr>
            <w:b w:val="0"/>
            <w:bCs w:val="0"/>
            <w:sz w:val="24"/>
            <w:szCs w:val="24"/>
          </w:rPr>
          <w:t xml:space="preserve">«Система фіксації адміністративних правопорушень у сфері забезпечення безпеки дорожнього руху в автоматичному режимі»</w:t>
        </w:r>
        <w:bookmarkEnd w:id="1"/>
        <w:r>
          <w:rPr>
            <w:b w:val="0"/>
            <w:bCs w:val="0"/>
            <w:sz w:val="24"/>
            <w:szCs w:val="24"/>
          </w:rPr>
          <w:t xml:space="preserve"> за кодом CPV за ЄЗС ДК 021:2015 –</w:t>
        </w:r>
        <w:r>
          <w:rPr>
            <w:b w:val="0"/>
            <w:bCs w:val="0"/>
            <w:sz w:val="24"/>
            <w:szCs w:val="24"/>
            <w:lang w:eastAsia="ar-SA"/>
          </w:rPr>
          <w:t xml:space="preserve"> </w:t>
        </w:r>
        <w:r>
          <w:rPr>
            <w:b w:val="0"/>
            <w:bCs w:val="0"/>
            <w:sz w:val="24"/>
            <w:szCs w:val="24"/>
          </w:rPr>
          <w:t xml:space="preserve">72260000-5 </w:t>
        </w:r>
        <w:r>
          <w:rPr>
            <w:b w:val="0"/>
            <w:bCs w:val="0"/>
            <w:i/>
            <w:sz w:val="24"/>
            <w:szCs w:val="24"/>
          </w:rPr>
          <w:t xml:space="preserve">«</w:t>
        </w:r>
        <w:r>
          <w:rPr>
            <w:b w:val="0"/>
            <w:bCs w:val="0"/>
            <w:sz w:val="24"/>
            <w:szCs w:val="24"/>
          </w:rPr>
          <w:t xml:space="preserve">Послуги, пов’язані з програмним забезпеченням»</w:t>
        </w:r>
        <w:r>
          <w:rPr>
            <w:rStyle w:val="699"/>
            <w:b w:val="0"/>
            <w:bCs w:val="0"/>
            <w:color w:val="auto"/>
            <w:sz w:val="24"/>
            <w:szCs w:val="24"/>
            <w:u w:val="none"/>
          </w:rPr>
          <w:t xml:space="preserve"> </w:t>
        </w:r>
      </w:hyperlink>
      <w:r/>
      <w:r/>
    </w:p>
    <w:p>
      <w:pPr>
        <w:jc w:val="both"/>
        <w:rPr>
          <w:rStyle w:val="699"/>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06</w:t>
      </w:r>
      <w:r>
        <w:rPr>
          <w:rFonts w:ascii="Times New Roman" w:hAnsi="Times New Roman" w:cs="Times New Roman"/>
          <w:sz w:val="24"/>
          <w:szCs w:val="24"/>
        </w:rPr>
        <w:t xml:space="preserve">-</w:t>
      </w:r>
      <w:r>
        <w:rPr>
          <w:rFonts w:ascii="Times New Roman" w:hAnsi="Times New Roman" w:cs="Times New Roman"/>
          <w:sz w:val="24"/>
          <w:szCs w:val="24"/>
        </w:rPr>
        <w:t xml:space="preserve">005380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rPr>
          <w:rFonts w:ascii="Times New Roman" w:hAnsi="Times New Roman" w:cs="Times New Roman"/>
          <w:b/>
          <w:color w:val="000000"/>
          <w:sz w:val="24"/>
          <w:szCs w:val="24"/>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sz w:val="24"/>
          <w:lang w:eastAsia="ru-RU"/>
        </w:rPr>
        <w:t xml:space="preserve">:  </w:t>
      </w:r>
      <w:bookmarkStart w:id="3" w:name="_Hlk133583335"/>
      <w:r>
        <w:rPr>
          <w:rFonts w:ascii="Times New Roman" w:hAnsi="Times New Roman" w:eastAsia="Times New Roman" w:cs="Times New Roman"/>
          <w:bCs/>
          <w:sz w:val="24"/>
          <w:lang w:eastAsia="ru-RU"/>
        </w:rPr>
        <w:t xml:space="preserve">Послуги з доопрацювання комп’ютерної програми «Система фіксації адміністративних правопорушень у сфері забезпечення безпеки дорожнього руху в автоматичному режимі»</w:t>
      </w:r>
      <w:bookmarkEnd w:id="3"/>
      <w:r/>
    </w:p>
    <w:p>
      <w:pPr>
        <w:jc w:val="both"/>
        <w:rPr>
          <w:rFonts w:eastAsia="Calibri"/>
          <w:u w:val="single"/>
        </w:rPr>
      </w:pPr>
      <w:r>
        <w:rPr>
          <w:rFonts w:eastAsia="Calibri"/>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 з доопрацювання комп’ютерної програми «Система фіксації адміністративних правопорушень у сфері забезпечення безпеки дорожнього руху в автоматичному режимі» </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ТЕХНІЧНЕ ЗАВДАННЯ</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5"/>
        <w:numPr>
          <w:ilvl w:val="0"/>
          <w:numId w:val="20"/>
        </w:numPr>
        <w:ind w:left="431" w:firstLine="0"/>
        <w:spacing w:before="0"/>
        <w:tabs>
          <w:tab w:val="num" w:pos="360" w:leader="none"/>
        </w:tabs>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Повне</w:t>
      </w:r>
      <w:r>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найменування</w:t>
      </w:r>
      <w:r>
        <w:rPr>
          <w:rFonts w:ascii="Times New Roman" w:hAnsi="Times New Roman" w:cs="Times New Roman"/>
          <w:b/>
          <w:bCs/>
          <w:color w:val="auto"/>
          <w:sz w:val="24"/>
          <w:szCs w:val="24"/>
        </w:rPr>
        <w:t xml:space="preserve"> документа</w:t>
      </w:r>
      <w:r/>
    </w:p>
    <w:p>
      <w:pPr>
        <w:pStyle w:val="685"/>
        <w:ind w:left="1069"/>
        <w:spacing w:before="0"/>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Технічне завдання на створення, доопрацювання і впровадження доопрацьованих підсистем та механізмів</w:t>
      </w:r>
      <w:r>
        <w:rPr>
          <w:rFonts w:ascii="Times New Roman" w:hAnsi="Times New Roman" w:cs="Times New Roman"/>
          <w:color w:val="000000"/>
          <w:sz w:val="24"/>
          <w:szCs w:val="24"/>
        </w:rPr>
        <w:t xml:space="preserve">, а саме механізмів отримання інформації про оплату за постанови з врахуванням територіальності</w:t>
      </w:r>
      <w:r>
        <w:rPr>
          <w:rFonts w:ascii="Times New Roman" w:hAnsi="Times New Roman" w:cs="Times New Roman"/>
          <w:color w:val="000000"/>
          <w:sz w:val="24"/>
          <w:szCs w:val="24"/>
        </w:rPr>
        <w:t xml:space="preserve"> та приналежності до ОТГ місця скоєння правопорушення (події, що має ознаки адміністративного правопорушення в сфері безпеки дорожнього руху) та подальший автоматичний та ручний розбір платежів, доопрацювання формування заяви та квитанції постанови, які до</w:t>
      </w:r>
      <w:r>
        <w:rPr>
          <w:rFonts w:ascii="Times New Roman" w:hAnsi="Times New Roman" w:cs="Times New Roman"/>
          <w:color w:val="000000"/>
          <w:sz w:val="24"/>
          <w:szCs w:val="24"/>
        </w:rPr>
        <w:t xml:space="preserve">даються до повідомлень про примусове стягнення штрафу за складеною постановою про адміністративне правопорушення в сфері безпеки дорожнього руху сформоване в Системі програмного забезпечення «Система фіксації адміністративних правопорушень у сфері забезпеч</w:t>
      </w:r>
      <w:r>
        <w:rPr>
          <w:rFonts w:ascii="Times New Roman" w:hAnsi="Times New Roman" w:cs="Times New Roman"/>
          <w:color w:val="000000"/>
          <w:sz w:val="24"/>
          <w:szCs w:val="24"/>
        </w:rPr>
        <w:t xml:space="preserve">ення безпеки дорожнього руху в автоматичному режимі» (далі - СФАП, Система) з врахуванням та у відповідності до Закону України від 15.02.2022 № 2042-ІХ «Про внесення змін до Бюджетного кодексу України» та удосконалення ділових процесів що автоматизуються, </w:t>
      </w:r>
      <w:r>
        <w:rPr>
          <w:rFonts w:ascii="Times New Roman" w:hAnsi="Times New Roman" w:cs="Times New Roman"/>
          <w:sz w:val="24"/>
          <w:szCs w:val="24"/>
        </w:rPr>
        <w:t xml:space="preserve">передачі інформації щодо пер</w:t>
      </w:r>
      <w:r>
        <w:rPr>
          <w:rFonts w:ascii="Times New Roman" w:hAnsi="Times New Roman" w:cs="Times New Roman"/>
          <w:sz w:val="24"/>
          <w:szCs w:val="24"/>
        </w:rPr>
        <w:t xml:space="preserve">етину зон контролю в ІКС «Інформаційний портал Національної поліції України», отримання достовірних даних про місце реєстрації керівників юридичних осіб та реалізація алгоритму складання постанови відносно керівника юридичної особи за актуальною юридичною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в разі відсутності </w:t>
      </w:r>
      <w:r>
        <w:rPr>
          <w:rFonts w:ascii="Times New Roman" w:hAnsi="Times New Roman" w:cs="Times New Roman"/>
          <w:sz w:val="24"/>
          <w:szCs w:val="24"/>
        </w:rPr>
        <w:t xml:space="preserve">повної інформації про адресу такої фізичної особи, уточнення КОАТУУ (КАТОТТГ) за поштовим індексом з повної адреси направлення постанови через API Укрпошти, передача до РАП постанов відносно осіб, ін</w:t>
      </w:r>
      <w:r>
        <w:rPr>
          <w:rFonts w:ascii="Times New Roman" w:hAnsi="Times New Roman" w:cs="Times New Roman"/>
          <w:sz w:val="24"/>
          <w:szCs w:val="24"/>
        </w:rPr>
        <w:t xml:space="preserve">формація про яких відсутня в облікових реєстрах МВС (зі створенням фізичної особи), коригування за датою оплати та датою вручення рекомендованого листа щодо відповідної постанови, направлення події, що містить ознаки адміністративного правопорушення, на но</w:t>
      </w:r>
      <w:r>
        <w:rPr>
          <w:rFonts w:ascii="Times New Roman" w:hAnsi="Times New Roman" w:cs="Times New Roman"/>
          <w:sz w:val="24"/>
          <w:szCs w:val="24"/>
        </w:rPr>
        <w:t xml:space="preserve">вий розгляд після скасування постанови з поверненням до черги опрацювання подій при відповідних умовах скасування та повернення відхилених подій до черги опрацювання в разі ненадходження інформації про порушника від ЄДРТЗ саме технічних причин на боці ЗІС.</w:t>
      </w:r>
      <w:r/>
    </w:p>
    <w:p>
      <w:pPr>
        <w:spacing w:after="0" w:line="240" w:lineRule="auto"/>
        <w:rPr>
          <w:rFonts w:ascii="Times New Roman" w:hAnsi="Times New Roman" w:cs="Times New Roman"/>
          <w:sz w:val="24"/>
          <w:szCs w:val="24"/>
        </w:rPr>
      </w:pPr>
      <w:r>
        <w:rPr>
          <w:rFonts w:ascii="Times New Roman" w:hAnsi="Times New Roman" w:cs="Times New Roman"/>
          <w:sz w:val="24"/>
          <w:szCs w:val="24"/>
        </w:rPr>
        <w:br w:type="page" w:clear="all"/>
      </w:r>
      <w:r/>
    </w:p>
    <w:p>
      <w:pPr>
        <w:pStyle w:val="685"/>
        <w:numPr>
          <w:ilvl w:val="0"/>
          <w:numId w:val="20"/>
        </w:numPr>
        <w:ind w:left="431" w:firstLine="0"/>
        <w:spacing w:before="0"/>
        <w:tabs>
          <w:tab w:val="num" w:pos="360" w:leader="none"/>
        </w:tabs>
        <w:rPr>
          <w:rFonts w:ascii="Times New Roman" w:hAnsi="Times New Roman" w:cs="Times New Roman"/>
          <w:b/>
          <w:bCs/>
          <w:color w:val="auto"/>
          <w:sz w:val="24"/>
          <w:szCs w:val="24"/>
        </w:rPr>
      </w:pPr>
      <w:r/>
      <w:bookmarkStart w:id="4" w:name="_heading=h.2s8eyo1"/>
      <w:r/>
      <w:bookmarkEnd w:id="4"/>
      <w:r>
        <w:rPr>
          <w:rFonts w:ascii="Times New Roman" w:hAnsi="Times New Roman" w:cs="Times New Roman"/>
          <w:b/>
          <w:bCs/>
          <w:color w:val="auto"/>
          <w:sz w:val="24"/>
          <w:szCs w:val="24"/>
        </w:rPr>
        <w:t xml:space="preserve">Загальні</w:t>
      </w:r>
      <w:r>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відомості</w:t>
      </w:r>
      <w:r/>
    </w:p>
    <w:p>
      <w:pPr>
        <w:pStyle w:val="685"/>
        <w:ind w:left="431"/>
        <w:spacing w:before="0"/>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Цей документ визначає додаткові вимоги на доопрацювання інформаційно-комунікаційної системи автоматичної фікса</w:t>
      </w:r>
      <w:r>
        <w:rPr>
          <w:rFonts w:ascii="Times New Roman" w:hAnsi="Times New Roman" w:cs="Times New Roman"/>
          <w:color w:val="000000"/>
          <w:sz w:val="24"/>
          <w:szCs w:val="24"/>
        </w:rPr>
        <w:t xml:space="preserve">ції порушень правил дорожнього руху «Система фіксації адміністративних правопорушень у сфері забезпечення безпеки дорожнього руху в автоматичному режимі» (далі – Система) в частині створення і впровадження доопрацьованих підсистем та механізмів, а саме мех</w:t>
      </w:r>
      <w:r>
        <w:rPr>
          <w:rFonts w:ascii="Times New Roman" w:hAnsi="Times New Roman" w:cs="Times New Roman"/>
          <w:color w:val="000000"/>
          <w:sz w:val="24"/>
          <w:szCs w:val="24"/>
        </w:rPr>
        <w:t xml:space="preserve">анізмів отримання інформації про оплату за постанови з урахуванням територіальності та приналежності до ОТГ місця скоєння правопорушення (події, що має ознаки адміністративного правопорушення в сфері безпеки дорожнього руху) з подальшим автоматичним та руч</w:t>
      </w:r>
      <w:r>
        <w:rPr>
          <w:rFonts w:ascii="Times New Roman" w:hAnsi="Times New Roman" w:cs="Times New Roman"/>
          <w:color w:val="000000"/>
          <w:sz w:val="24"/>
          <w:szCs w:val="24"/>
        </w:rPr>
        <w:t xml:space="preserve">ним розбором платежів, доопрацювання заяви та квитанції постанови, які додаються до повідомлень про примусове стягнення штрафу за складеною постановою про адміністративне правопорушення в сфері безпеки дорожнього руху сформоване в Системі програмного забез</w:t>
      </w:r>
      <w:r>
        <w:rPr>
          <w:rFonts w:ascii="Times New Roman" w:hAnsi="Times New Roman" w:cs="Times New Roman"/>
          <w:color w:val="000000"/>
          <w:sz w:val="24"/>
          <w:szCs w:val="24"/>
        </w:rPr>
        <w:t xml:space="preserve">печення «Система фіксації адміністративних правопорушень у сфері забезпечення безпеки дорожнього руху в автоматичному режимі» (далі - СФАП, Система) з урахуванням вимог та у відповідності до Закону України від 15.02.2022 № 2042-ІХ «Про внесення змін до Бюд</w:t>
      </w:r>
      <w:r>
        <w:rPr>
          <w:rFonts w:ascii="Times New Roman" w:hAnsi="Times New Roman" w:cs="Times New Roman"/>
          <w:color w:val="000000"/>
          <w:sz w:val="24"/>
          <w:szCs w:val="24"/>
        </w:rPr>
        <w:t xml:space="preserve">жетного кодексу України» з метою вдосконалення та забезпечення реалізації організаційних та процесуальних заходів під час здійснення контролю за дотриманням Правил дорожнього руху його учасниками  у відповідності до змін регулюючих нормативних документів, </w:t>
      </w:r>
      <w:r>
        <w:rPr>
          <w:rFonts w:ascii="Times New Roman" w:hAnsi="Times New Roman" w:cs="Times New Roman"/>
          <w:sz w:val="24"/>
          <w:szCs w:val="24"/>
        </w:rPr>
        <w:t xml:space="preserve">передачі інформації щодо пер</w:t>
      </w:r>
      <w:r>
        <w:rPr>
          <w:rFonts w:ascii="Times New Roman" w:hAnsi="Times New Roman" w:cs="Times New Roman"/>
          <w:sz w:val="24"/>
          <w:szCs w:val="24"/>
        </w:rPr>
        <w:t xml:space="preserve">етину зон контролю в ІКС «Інформаційний портал Національної поліції України», отримання достовірних даних про місце реєстрації керівників юридичних осіб та реалізація алгоритму складання постанови відносно керівника юридичної особи за актуальною юридичною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в разі відсутності повної інформації про адр</w:t>
      </w:r>
      <w:r>
        <w:rPr>
          <w:rFonts w:ascii="Times New Roman" w:hAnsi="Times New Roman" w:cs="Times New Roman"/>
          <w:sz w:val="24"/>
          <w:szCs w:val="24"/>
        </w:rPr>
        <w:t xml:space="preserve">есу такої фізичної особи, уточнення КОАТУУ (КАТОТТГ) за поштовим індексом з повної адреси направлення постанови через API Укрпошти, передача до РАП постанов відносно осіб, інформація про яких відсутня в облікових реєстрах МВС (зі створенням фізичної особи)</w:t>
      </w:r>
      <w:r>
        <w:rPr>
          <w:rFonts w:ascii="Times New Roman" w:hAnsi="Times New Roman" w:cs="Times New Roman"/>
          <w:sz w:val="24"/>
          <w:szCs w:val="24"/>
        </w:rPr>
        <w:t xml:space="preserve">, коригування за датою оплати та датою вручення рекомендованого листа щодо відповідної постанови, направлення події, що містить ознаки адміністративного правопорушення, на новий розгляд після скасування постанови з поверненням до черги опрацювання подій пр</w:t>
      </w:r>
      <w:r>
        <w:rPr>
          <w:rFonts w:ascii="Times New Roman" w:hAnsi="Times New Roman" w:cs="Times New Roman"/>
          <w:sz w:val="24"/>
          <w:szCs w:val="24"/>
        </w:rPr>
        <w:t xml:space="preserve">и відповідних умовах такого скасування та повернення відхилених подій до черги опрацювання в разі ненадходження інформації про порушника від ЄДРТЗ саме технічних причин на боці зовнішньої інформаційної системи або мережевого каналу інтеграційної взаємодії.</w:t>
      </w:r>
      <w:r>
        <w:rPr>
          <w:rFonts w:ascii="Times New Roman" w:hAnsi="Times New Roman" w:cs="Times New Roman"/>
          <w:color w:val="000000"/>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Розвиток інформаційних технологій, удосконалення ділових процесів та зміни на законодавчому рівні, а також оновлення та нарощування потужності апаратного забезпечення, зміни та розвиток програмного забезпечення зовнішніх систем</w:t>
      </w:r>
      <w:r>
        <w:rPr>
          <w:rFonts w:ascii="Times New Roman" w:hAnsi="Times New Roman" w:cs="Times New Roman"/>
          <w:sz w:val="24"/>
          <w:szCs w:val="24"/>
        </w:rPr>
        <w:t xml:space="preserve">, запровадження нових протоколів та зміни чи вдосконалення протоколів інформаційного обміну, вимоги щодо вдосконалення автоматизації організаційних та процесуальних заходів в Системі можуть призводити до необхідності вдосконалення та масштабування Системи.</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Передумовою необхідності доопрацювання Системи є: </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України від 15.02.2022 № 2042-ІХ «Про внесення змін до Бюджетного кодексу </w:t>
      </w:r>
      <w:r>
        <w:rPr>
          <w:rFonts w:ascii="Times New Roman" w:hAnsi="Times New Roman" w:cs="Times New Roman"/>
          <w:color w:val="000000"/>
          <w:sz w:val="24"/>
          <w:szCs w:val="24"/>
        </w:rPr>
        <w:t xml:space="preserve">України»</w:t>
      </w:r>
      <w:r>
        <w:rPr>
          <w:rFonts w:ascii="Times New Roman" w:hAnsi="Times New Roman" w:cs="Times New Roman"/>
          <w:sz w:val="24"/>
          <w:szCs w:val="24"/>
        </w:rPr>
        <w:t xml:space="preserve"> та залежності атрибутивної частини постанови, а саме платіжних реквізитів від місця фіксації події  та приналежності його до відповідної об’єднаної територіальної громади України;</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новий формат отримання інформації про оплату за постанови з урахуванням територіальності та приналежності до ОТГ місця скоєння правопорушення (події, що має ознаки адміністративного правопорушення в </w:t>
      </w:r>
      <w:r>
        <w:rPr>
          <w:rFonts w:ascii="Times New Roman" w:hAnsi="Times New Roman" w:cs="Times New Roman"/>
          <w:color w:val="000000"/>
          <w:sz w:val="24"/>
          <w:szCs w:val="24"/>
        </w:rPr>
        <w:t xml:space="preserve">сфері </w:t>
      </w:r>
      <w:r>
        <w:rPr>
          <w:rFonts w:ascii="Times New Roman" w:hAnsi="Times New Roman" w:cs="Times New Roman"/>
          <w:sz w:val="24"/>
          <w:szCs w:val="24"/>
        </w:rPr>
        <w:t xml:space="preserve">безпеки дорожнього руху) та подальший автоматичний та ручний розбір платежів у відповідності до Закону України від 15.02.2022 № 2042-ІХ «Про внесення змін до Бюджетного кодексу України» та довідника ПКД з приналежністю до ОТГ за місцем встановлення;</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необхідність внесення змін до заяви та квитанції постанови, які додаються до повідомлень про примусове стягнення штрафу за складеною постановою про адміністративне правопорушення в </w:t>
      </w:r>
      <w:r>
        <w:rPr>
          <w:rFonts w:ascii="Times New Roman" w:hAnsi="Times New Roman" w:cs="Times New Roman"/>
          <w:color w:val="000000"/>
          <w:sz w:val="24"/>
          <w:szCs w:val="24"/>
        </w:rPr>
        <w:t xml:space="preserve">сфері </w:t>
      </w:r>
      <w:r>
        <w:rPr>
          <w:rFonts w:ascii="Times New Roman" w:hAnsi="Times New Roman" w:cs="Times New Roman"/>
          <w:sz w:val="24"/>
          <w:szCs w:val="24"/>
        </w:rPr>
        <w:t xml:space="preserve">безпеки дорожнього руху сформоване в Системі;</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удосконалення ділових та організаційних процесів обробки подій. </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проектування та розробки будь-якої підсистеми та механізму повинна бути передбачена можливість їх подальшої модернізації та вдосконалення. </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Розвиток та модернізація підсистеми передбачає офіційний перегляд і узгодження вимог д</w:t>
      </w:r>
      <w:r>
        <w:rPr>
          <w:rFonts w:ascii="Times New Roman" w:hAnsi="Times New Roman" w:cs="Times New Roman"/>
          <w:sz w:val="24"/>
          <w:szCs w:val="24"/>
        </w:rPr>
        <w:t xml:space="preserve">о Системи та виконання обов’язкових етапів робіт під час проектування, впровадження та експлуатації засобів інформатизації, визначених постановою Кабінету Міністрів України від 04.02.1998 № 121, відповідно до нормативних документів у галузі стандартизації.</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6"/>
        <w:numPr>
          <w:ilvl w:val="1"/>
          <w:numId w:val="20"/>
        </w:numPr>
        <w:ind w:left="0" w:firstLine="0"/>
        <w:spacing w:before="0" w:after="0" w:afterAutospacing="0"/>
        <w:tabs>
          <w:tab w:val="num" w:pos="360" w:leader="none"/>
        </w:tabs>
        <w:rPr>
          <w:sz w:val="24"/>
          <w:szCs w:val="24"/>
        </w:rPr>
      </w:pPr>
      <w:r/>
      <w:bookmarkStart w:id="5" w:name="_heading=h.17dp8vu"/>
      <w:r/>
      <w:bookmarkEnd w:id="5"/>
      <w:r>
        <w:rPr>
          <w:sz w:val="24"/>
          <w:szCs w:val="24"/>
        </w:rPr>
        <w:t xml:space="preserve">Перелік умовних скорочень</w:t>
      </w:r>
      <w:r/>
    </w:p>
    <w:p>
      <w:pPr>
        <w:ind w:firstLine="709"/>
        <w:jc w:val="both"/>
        <w:spacing w:after="0" w:line="240" w:lineRule="auto"/>
        <w:rPr>
          <w:rFonts w:ascii="Times New Roman" w:hAnsi="Times New Roman" w:cs="Times New Roman"/>
          <w:sz w:val="24"/>
          <w:szCs w:val="24"/>
        </w:rPr>
      </w:pPr>
      <w:r/>
      <w:bookmarkStart w:id="6" w:name="_heading=h.3rdcrjn"/>
      <w:r/>
      <w:bookmarkEnd w:id="6"/>
      <w:r>
        <w:rPr>
          <w:rFonts w:ascii="Times New Roman" w:hAnsi="Times New Roman" w:cs="Times New Roman"/>
          <w:sz w:val="24"/>
          <w:szCs w:val="24"/>
        </w:rPr>
        <w:t xml:space="preserve">У цьому Технічному завданні використовуються такі позначення і скорочення:</w:t>
      </w:r>
      <w:r/>
    </w:p>
    <w:tbl>
      <w:tblPr>
        <w:tblW w:w="9767" w:type="dxa"/>
        <w:tblInd w:w="-25" w:type="dxa"/>
        <w:tblBorders>
          <w:top w:val="single" w:color="000001" w:sz="4" w:space="0"/>
          <w:left w:val="single" w:color="000001" w:sz="4" w:space="0"/>
          <w:bottom w:val="single" w:color="000001" w:sz="4" w:space="0"/>
          <w:insideH w:val="single" w:color="000001" w:sz="4" w:space="0"/>
        </w:tblBorders>
        <w:tblLayout w:type="fixed"/>
        <w:tblLook w:val="0000" w:firstRow="0" w:lastRow="0" w:firstColumn="0" w:lastColumn="0" w:noHBand="0" w:noVBand="0"/>
      </w:tblPr>
      <w:tblGrid>
        <w:gridCol w:w="1531"/>
        <w:gridCol w:w="8236"/>
      </w:tblGrid>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Акціонерне товариство</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БД</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База даних</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Міністерство внутрішніх справ</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Державна виконавча служба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ДМСУ</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Державна міграційна служба 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ДПСУ</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Державна податкова служба 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ЄДР МВС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Єдиний державний реєстр МВС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ЄДРТЗ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Єдиний державний реєстр транспортних засобів</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ЄІС МВС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Єдина інформаційна система МВС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ЗІС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Зовнішня інформаційна система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ІБ</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Інформаційна безпека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Інформаційна система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IКC</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Інформаційно-комунікаційна система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КЕП</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Кваліфікований електронний підпис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КОАТУУ</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Класифікатор об’єктів адміністративно-територіального устрою 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КСЗІ</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Комплексна система захисту інформації</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КЗЗ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засобів захисту</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ПДР</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Правила дорожнього руху</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ПІБ</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Прізвище, ім’я, по батькові</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ПКД</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Прилади контролю дистанційні</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РАП</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Реєстр адміністративних правопорушень у сфері безпеки дорожнього руху</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СКБД</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керування базами даних</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Транспортний засіб</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ЦОВВ</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Центральні органи виконавчої влади, діяльність яких спрямовується та координується Кабінетом Міністрів України через Міністра внутрішніх справ 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ШКІ</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Штриховий кодовий ідентифікатор</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API</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Application</w:t>
            </w:r>
            <w:r>
              <w:rPr>
                <w:rFonts w:ascii="Times New Roman" w:hAnsi="Times New Roman" w:cs="Times New Roman"/>
                <w:sz w:val="24"/>
                <w:szCs w:val="24"/>
              </w:rPr>
              <w:t xml:space="preserve"> </w:t>
            </w:r>
            <w:r>
              <w:rPr>
                <w:rFonts w:ascii="Times New Roman" w:hAnsi="Times New Roman" w:cs="Times New Roman"/>
                <w:sz w:val="24"/>
                <w:szCs w:val="24"/>
              </w:rPr>
              <w:t xml:space="preserve">Programming</w:t>
            </w:r>
            <w:r>
              <w:rPr>
                <w:rFonts w:ascii="Times New Roman" w:hAnsi="Times New Roman" w:cs="Times New Roman"/>
                <w:sz w:val="24"/>
                <w:szCs w:val="24"/>
              </w:rPr>
              <w:t xml:space="preserve"> </w:t>
            </w:r>
            <w:r>
              <w:rPr>
                <w:rFonts w:ascii="Times New Roman" w:hAnsi="Times New Roman" w:cs="Times New Roman"/>
                <w:sz w:val="24"/>
                <w:szCs w:val="24"/>
              </w:rPr>
              <w:t xml:space="preserve">Interface</w:t>
            </w:r>
            <w:r>
              <w:rPr>
                <w:rFonts w:ascii="Times New Roman" w:hAnsi="Times New Roman" w:cs="Times New Roman"/>
                <w:sz w:val="24"/>
                <w:szCs w:val="24"/>
              </w:rPr>
              <w:t xml:space="preserve">) Прикладний програмний інтерфейс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SMS</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Short</w:t>
            </w:r>
            <w:r>
              <w:rPr>
                <w:rFonts w:ascii="Times New Roman" w:hAnsi="Times New Roman" w:cs="Times New Roman"/>
                <w:sz w:val="24"/>
                <w:szCs w:val="24"/>
              </w:rPr>
              <w:t xml:space="preserve"> </w:t>
            </w:r>
            <w:r>
              <w:rPr>
                <w:rFonts w:ascii="Times New Roman" w:hAnsi="Times New Roman" w:cs="Times New Roman"/>
                <w:sz w:val="24"/>
                <w:szCs w:val="24"/>
              </w:rPr>
              <w:t xml:space="preserve">Message</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r>
              <w:rPr>
                <w:rFonts w:ascii="Times New Roman" w:hAnsi="Times New Roman" w:cs="Times New Roman"/>
                <w:sz w:val="24"/>
                <w:szCs w:val="24"/>
              </w:rPr>
              <w:t xml:space="preserve">) Служба коротких повідомлень</w:t>
            </w:r>
            <w:r/>
          </w:p>
        </w:tc>
      </w:tr>
      <w:tr>
        <w:trPr/>
        <w:tc>
          <w:tcPr>
            <w:shd w:val="clear" w:color="auto" w:fill="auto"/>
            <w:tcBorders>
              <w:top w:val="single" w:color="000001" w:sz="4" w:space="0"/>
              <w:left w:val="single" w:color="000001" w:sz="4" w:space="0"/>
              <w:bottom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ВПО</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Внутрішньо переміщені особи</w:t>
            </w:r>
            <w:r/>
          </w:p>
        </w:tc>
      </w:tr>
      <w:tr>
        <w:trPr/>
        <w:tc>
          <w:tcPr>
            <w:shd w:val="clear" w:color="auto" w:fill="auto"/>
            <w:tcBorders>
              <w:top w:val="single" w:color="000001" w:sz="4" w:space="0"/>
              <w:left w:val="single" w:color="000001" w:sz="4" w:space="0"/>
              <w:bottom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ОТГ</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Об’єднана територіальна громада</w:t>
            </w:r>
            <w:r/>
          </w:p>
        </w:tc>
      </w:tr>
      <w:tr>
        <w:trPr/>
        <w:tc>
          <w:tcPr>
            <w:shd w:val="clear" w:color="auto" w:fill="auto"/>
            <w:tcBorders>
              <w:top w:val="single" w:color="000001" w:sz="4" w:space="0"/>
              <w:left w:val="single" w:color="000001" w:sz="4" w:space="0"/>
              <w:bottom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РНОКПП</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Реєстраційний номер облікової картки платника податків</w:t>
            </w:r>
            <w:r/>
          </w:p>
        </w:tc>
      </w:tr>
      <w:tr>
        <w:trPr/>
        <w:tc>
          <w:tcPr>
            <w:shd w:val="clear" w:color="auto" w:fill="auto"/>
            <w:tcBorders>
              <w:top w:val="single" w:color="000001" w:sz="4" w:space="0"/>
              <w:left w:val="single" w:color="000001" w:sz="4" w:space="0"/>
              <w:bottom w:val="single" w:color="000001" w:sz="4" w:space="0"/>
            </w:tcBorders>
            <w:tcMar>
              <w:left w:w="88" w:type="dxa"/>
            </w:tcMar>
            <w:tcW w:w="153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СФАП, Система</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Система фіксації адміністративних правопорушень у сфері забезпечення безпеки дорожнього руху в автоматичному режимі</w:t>
            </w:r>
            <w:r/>
          </w:p>
        </w:tc>
      </w:tr>
    </w:tbl>
    <w:p>
      <w:pP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bookmarkStart w:id="7" w:name="_heading=h.26in1rg"/>
      <w:r/>
      <w:bookmarkEnd w:id="7"/>
      <w:r/>
      <w:r/>
    </w:p>
    <w:p>
      <w:pPr>
        <w:pStyle w:val="686"/>
        <w:numPr>
          <w:ilvl w:val="1"/>
          <w:numId w:val="20"/>
        </w:numPr>
        <w:ind w:left="0" w:firstLine="0"/>
        <w:spacing w:before="0" w:after="0" w:afterAutospacing="0"/>
        <w:tabs>
          <w:tab w:val="num" w:pos="360" w:leader="none"/>
        </w:tabs>
        <w:rPr>
          <w:sz w:val="24"/>
          <w:szCs w:val="24"/>
        </w:rPr>
      </w:pPr>
      <w:r/>
      <w:bookmarkStart w:id="8" w:name="_heading=h.lnxbz9"/>
      <w:r/>
      <w:bookmarkEnd w:id="8"/>
      <w:r>
        <w:rPr>
          <w:sz w:val="24"/>
          <w:szCs w:val="24"/>
        </w:rPr>
        <w:t xml:space="preserve">Поняття та терміни</w:t>
      </w:r>
      <w:r/>
    </w:p>
    <w:p>
      <w:pPr>
        <w:ind w:firstLine="709"/>
        <w:jc w:val="both"/>
        <w:spacing w:after="0" w:line="240" w:lineRule="auto"/>
        <w:tabs>
          <w:tab w:val="left" w:pos="106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Посадові особи уповноважених суб’єктів – уповноважені посадові особи суб’єктів, що діють у сфері безпеки дорожнього руху відповідно до законодавства;</w:t>
      </w:r>
      <w:r/>
    </w:p>
    <w:p>
      <w:pPr>
        <w:ind w:firstLine="709"/>
        <w:jc w:val="both"/>
        <w:spacing w:after="0" w:line="240" w:lineRule="auto"/>
        <w:tabs>
          <w:tab w:val="left" w:pos="106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Відповідальна особа – особа-порушник, що зобов’язана сплатити або оскаржити рішення посадової особи у встановленому законодавством порядку;</w:t>
      </w:r>
      <w:r/>
    </w:p>
    <w:p>
      <w:pPr>
        <w:ind w:firstLine="709"/>
        <w:jc w:val="both"/>
        <w:spacing w:after="0" w:line="240" w:lineRule="auto"/>
        <w:tabs>
          <w:tab w:val="left" w:pos="1068" w:leader="none"/>
        </w:tabs>
        <w:rPr>
          <w:rFonts w:ascii="Times New Roman" w:hAnsi="Times New Roman" w:cs="Times New Roman"/>
          <w:sz w:val="24"/>
          <w:szCs w:val="24"/>
        </w:rPr>
      </w:pPr>
      <w:r>
        <w:rPr>
          <w:rFonts w:ascii="Times New Roman" w:hAnsi="Times New Roman" w:cs="Times New Roman"/>
          <w:sz w:val="24"/>
          <w:szCs w:val="24"/>
        </w:rPr>
        <w:t xml:space="preserve">Терміни та визначення вживаються в цьому Технічному завданні відповідно до:</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1.1-003-99 «Термінологія у галузі захисту інформації в комп’ютерних системах від несанкціонованого доступу», </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2226-93 «Автоматизовані системи. Терміни та визначення»,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 </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3396.2-96 «Захист інформації. Технічний захист інформації. Терміни та визначення»,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Постанова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r/>
    </w:p>
    <w:p>
      <w:pPr>
        <w:ind w:left="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pStyle w:val="686"/>
        <w:numPr>
          <w:ilvl w:val="1"/>
          <w:numId w:val="20"/>
        </w:numPr>
        <w:ind w:left="0" w:firstLine="0"/>
        <w:spacing w:before="0" w:after="0" w:afterAutospacing="0"/>
        <w:tabs>
          <w:tab w:val="num" w:pos="360" w:leader="none"/>
        </w:tabs>
        <w:rPr>
          <w:sz w:val="24"/>
          <w:szCs w:val="24"/>
        </w:rPr>
      </w:pPr>
      <w:r/>
      <w:bookmarkStart w:id="9" w:name="_heading=h.35nkun2"/>
      <w:r/>
      <w:bookmarkEnd w:id="9"/>
      <w:r>
        <w:rPr>
          <w:sz w:val="24"/>
          <w:szCs w:val="24"/>
        </w:rPr>
        <w:t xml:space="preserve">Характеристика об'єкту автоматизації</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Об’єктом автоматизації є процеси: отримання інформації про оплату за постанови з врахуванням територіальності та приналежності до ОТГ місця скоєння правопорушення (події, що має ознаки адміністративного правопорушення в </w:t>
      </w:r>
      <w:r>
        <w:rPr>
          <w:rFonts w:ascii="Times New Roman" w:hAnsi="Times New Roman" w:cs="Times New Roman"/>
          <w:color w:val="000000"/>
          <w:sz w:val="24"/>
          <w:szCs w:val="24"/>
        </w:rPr>
        <w:t xml:space="preserve">сфері </w:t>
      </w:r>
      <w:r>
        <w:rPr>
          <w:rFonts w:ascii="Times New Roman" w:hAnsi="Times New Roman" w:cs="Times New Roman"/>
          <w:sz w:val="24"/>
          <w:szCs w:val="24"/>
        </w:rPr>
        <w:t xml:space="preserve">безпеки дорожнього руху) та подальший автоматичний та ручний розбір платежів, доопрацювання заяви та квитанції постанови, які додаються до повідомлень про примусове стягнення штрафу за складеною постановою про адміністративне правопорушення в </w:t>
      </w:r>
      <w:r>
        <w:rPr>
          <w:rFonts w:ascii="Times New Roman" w:hAnsi="Times New Roman" w:cs="Times New Roman"/>
          <w:color w:val="000000"/>
          <w:sz w:val="24"/>
          <w:szCs w:val="24"/>
        </w:rPr>
        <w:t xml:space="preserve">сфері </w:t>
      </w:r>
      <w:r>
        <w:rPr>
          <w:rFonts w:ascii="Times New Roman" w:hAnsi="Times New Roman" w:cs="Times New Roman"/>
          <w:sz w:val="24"/>
          <w:szCs w:val="24"/>
        </w:rPr>
        <w:t xml:space="preserve">безпеки дорожнього руху, сформоване в Системі, передачі інформації щодо пер</w:t>
      </w:r>
      <w:r>
        <w:rPr>
          <w:rFonts w:ascii="Times New Roman" w:hAnsi="Times New Roman" w:cs="Times New Roman"/>
          <w:sz w:val="24"/>
          <w:szCs w:val="24"/>
        </w:rPr>
        <w:t xml:space="preserve">етину зон контролю в ІКС «Інформаційний портал Національної поліції України», отримання достовірних даних про місце реєстрації керівників юридичних осіб та реалізація алгоритму складання постанови відносно керівника юридичної особи за актуальною юридичною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в разі відсутності повної інформа</w:t>
      </w:r>
      <w:r>
        <w:rPr>
          <w:rFonts w:ascii="Times New Roman" w:hAnsi="Times New Roman" w:cs="Times New Roman"/>
          <w:sz w:val="24"/>
          <w:szCs w:val="24"/>
        </w:rPr>
        <w:t xml:space="preserve">ції про адресу такої фізичної особи, уточнення КОАТУУ (КАТОТТГ) за поштовим індексом з повної адреси направлення постанови через API Укрпошти, передача до РАП постанов відносно осіб, інформація про яких відсутня в облікових реєстрах МВС (зі створенням фізи</w:t>
      </w:r>
      <w:r>
        <w:rPr>
          <w:rFonts w:ascii="Times New Roman" w:hAnsi="Times New Roman" w:cs="Times New Roman"/>
          <w:sz w:val="24"/>
          <w:szCs w:val="24"/>
        </w:rPr>
        <w:t xml:space="preserve">чної особи), коригування за датою оплати та датою вручення рекомендованого листа щодо відповідної постанови, направлення події, що містить ознаки адміністративного правопорушення, на новий розгляд після скасування постанови з поверненням до черги опрацюван</w:t>
      </w:r>
      <w:r>
        <w:rPr>
          <w:rFonts w:ascii="Times New Roman" w:hAnsi="Times New Roman" w:cs="Times New Roman"/>
          <w:sz w:val="24"/>
          <w:szCs w:val="24"/>
        </w:rPr>
        <w:t xml:space="preserve">ня подій при відповідних умовах такого скасування, повернення відхилених подій до черги опрацювання в разі ненадходження інформації про порушника від ЄДРТЗ саме технічних причин на боці зовнішньої інформаційної системи або мережевого каналу інтеграційної в</w:t>
      </w:r>
      <w:r>
        <w:rPr>
          <w:rFonts w:ascii="Times New Roman" w:hAnsi="Times New Roman" w:cs="Times New Roman"/>
          <w:sz w:val="24"/>
          <w:szCs w:val="24"/>
        </w:rPr>
        <w:t xml:space="preserve">заємодії, а також комплекс заходів захисту інформації, що обробляється та зберігається в межах системи, від несанкціонованого доступу та несанкціонованих дій, що порушують конфіденційність, цілісність, доступність інформації, що обробляється в Системі, та </w:t>
      </w:r>
      <w:r>
        <w:rPr>
          <w:rFonts w:ascii="Times New Roman" w:hAnsi="Times New Roman" w:cs="Times New Roman"/>
          <w:sz w:val="24"/>
          <w:szCs w:val="24"/>
        </w:rPr>
        <w:t xml:space="preserve">спостережність</w:t>
      </w:r>
      <w:r>
        <w:rPr>
          <w:rFonts w:ascii="Times New Roman" w:hAnsi="Times New Roman" w:cs="Times New Roman"/>
          <w:sz w:val="24"/>
          <w:szCs w:val="24"/>
        </w:rPr>
        <w:t xml:space="preserve"> 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5"/>
        <w:numPr>
          <w:ilvl w:val="0"/>
          <w:numId w:val="20"/>
        </w:numPr>
        <w:ind w:left="431" w:firstLine="0"/>
        <w:spacing w:before="0"/>
        <w:tabs>
          <w:tab w:val="num" w:pos="360" w:leader="none"/>
        </w:tabs>
        <w:rPr>
          <w:rFonts w:ascii="Times New Roman" w:hAnsi="Times New Roman" w:cs="Times New Roman"/>
          <w:b/>
          <w:bCs/>
          <w:color w:val="auto"/>
          <w:sz w:val="24"/>
          <w:szCs w:val="24"/>
        </w:rPr>
      </w:pPr>
      <w:r/>
      <w:bookmarkStart w:id="10" w:name="_heading=h.1ksv4uv"/>
      <w:r/>
      <w:bookmarkEnd w:id="10"/>
      <w:r>
        <w:rPr>
          <w:rFonts w:ascii="Times New Roman" w:hAnsi="Times New Roman" w:cs="Times New Roman"/>
          <w:b/>
          <w:bCs/>
          <w:color w:val="auto"/>
          <w:sz w:val="24"/>
          <w:szCs w:val="24"/>
        </w:rPr>
        <w:t xml:space="preserve">Посилання</w:t>
      </w:r>
      <w:r/>
    </w:p>
    <w:p>
      <w:pPr>
        <w:pStyle w:val="685"/>
        <w:ind w:left="431"/>
        <w:spacing w:before="0"/>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Створення, доопрацювання і впровадження </w:t>
      </w:r>
      <w:r>
        <w:rPr>
          <w:rFonts w:ascii="Times New Roman" w:hAnsi="Times New Roman" w:cs="Times New Roman"/>
          <w:sz w:val="24"/>
          <w:szCs w:val="24"/>
        </w:rPr>
        <w:t xml:space="preserve">підсистем, механізмів, доопрацювання АРМ, класифікаторів та довідників </w:t>
      </w:r>
      <w:r>
        <w:rPr>
          <w:rFonts w:ascii="Times New Roman" w:hAnsi="Times New Roman" w:cs="Times New Roman"/>
          <w:color w:val="000000"/>
          <w:sz w:val="24"/>
          <w:szCs w:val="24"/>
        </w:rPr>
        <w:t xml:space="preserve">має відповідати нормативн</w:t>
      </w:r>
      <w:r>
        <w:rPr>
          <w:rFonts w:ascii="Times New Roman" w:hAnsi="Times New Roman" w:cs="Times New Roman"/>
          <w:color w:val="000000"/>
          <w:sz w:val="24"/>
          <w:szCs w:val="24"/>
        </w:rPr>
        <w:t xml:space="preserve">о-правовим та розпорядчим документам, які регламентують інформаційне забезпечення діяльності МВС, застосування КЕП в тому числі при реалізації механізмів інтеграції взаємодії та обміну інформацією з ЗІС, порядок розроблення автоматизованих систем, зокрема:</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«Кодексом України про адміністративні правопорушення»;</w:t>
      </w:r>
      <w:r/>
    </w:p>
    <w:p>
      <w:pPr>
        <w:ind w:firstLine="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законам України: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інформацію»;</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захист персональних даних»;</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доступ до публічної інформації»;</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електронні довірчі послуги»;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дорожній рух»;</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Національну поліцію України»;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автомобільний транспорт»;</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 внесення змін до деяких законодавчих актів України щодо вдосконалення регулювання відносин у сфері забезпечення безпеки дорожнього руху»;</w:t>
      </w:r>
      <w:r/>
    </w:p>
    <w:p>
      <w:pPr>
        <w:ind w:firstLine="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постановам Кабінету Міністрів України: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28 жовтня 2015 року № 878 «Про затвердження Положення про Міністерство внутрішніх справ України»;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04 лютого 1998 року № 121 «Про затвердження переліку обов'язкових етапів робіт під час проектування, впровадження та експлуатації засобів інформатизації»;</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10 жовтня 2001 року №1306 «Про Правила дорожнього руху»;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07 вересня 1998 року №1388 «Про затвердження Порядку державної реєстрації (</w:t>
      </w:r>
      <w:r>
        <w:rPr>
          <w:rFonts w:ascii="Times New Roman" w:hAnsi="Times New Roman" w:cs="Times New Roman"/>
          <w:sz w:val="24"/>
          <w:szCs w:val="24"/>
        </w:rPr>
        <w:t xml:space="preserve">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10 листопада 2017 року №833 «Про функціонування системи фіксації адміністративних правопорушень у сфері забезпечення безпеки дорожнього руху в автоматичному режимі»;</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від 27 січня 2010 року «Про впорядкування транслітерації українського алфавіту латиницею»;</w:t>
      </w:r>
      <w:r/>
    </w:p>
    <w:p>
      <w:pPr>
        <w:ind w:firstLine="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відомчим нормативно-правовим та організаційно-розпорядчим актам:</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наказу Міністерства внутрішніх справ України від 14 червня 2016 року № 511 «</w:t>
      </w:r>
      <w:r>
        <w:rPr>
          <w:rFonts w:ascii="Times New Roman" w:hAnsi="Times New Roman" w:cs="Times New Roman"/>
          <w:sz w:val="24"/>
          <w:szCs w:val="24"/>
        </w:rPr>
        <w:t xml:space="preserve">Про затвердження Концепції інформатизації Міністерства внутрішніх справ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наказу Міністерства внутрішніх справ України від 04 липня 2016 року № 596 «Про затвердження Положення про єдину цифрову відомчу телекомунікаційну мережу МВС», зареєстрованому в Міністерстві юстиції України 28 липня 2016 року за № 1055/29185;</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наказу Адміністрації Державної служби спеціального зв'язку та захисту інформації України від 26 березня 2007 року № 45 «Про затвердж</w:t>
      </w:r>
      <w:r>
        <w:rPr>
          <w:rFonts w:ascii="Times New Roman" w:hAnsi="Times New Roman" w:cs="Times New Roman"/>
          <w:sz w:val="24"/>
          <w:szCs w:val="24"/>
        </w:rPr>
        <w:t xml:space="preserve">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наказу Адміністрації Державної служби спеціального зв'язку та з</w:t>
      </w:r>
      <w:r>
        <w:rPr>
          <w:rFonts w:ascii="Times New Roman" w:hAnsi="Times New Roman" w:cs="Times New Roman"/>
          <w:sz w:val="24"/>
          <w:szCs w:val="24"/>
        </w:rPr>
        <w:t xml:space="preserve">ахисту інформації України від 16 травня 2007 року № 93 «Про затвердження Положення про державну експертизу у сфері технічного захисту інформації» (зі змінами і доповненнями), зареєстрованому в Міністерстві юстиції України 16 липня 2007 року за № 820/14087;</w:t>
      </w:r>
      <w:r/>
    </w:p>
    <w:p>
      <w:pPr>
        <w:ind w:firstLine="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нормативним документам у галузі стандартизації:</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2226-93 «Автоматизовані системи. Терміни та визначення»;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ГОСТ 34.601-90 «Комплекс </w:t>
      </w:r>
      <w:r>
        <w:rPr>
          <w:rFonts w:ascii="Times New Roman" w:hAnsi="Times New Roman" w:cs="Times New Roman"/>
          <w:sz w:val="24"/>
          <w:szCs w:val="24"/>
        </w:rPr>
        <w:t xml:space="preserve">стандартов</w:t>
      </w:r>
      <w:r>
        <w:rPr>
          <w:rFonts w:ascii="Times New Roman" w:hAnsi="Times New Roman" w:cs="Times New Roman"/>
          <w:sz w:val="24"/>
          <w:szCs w:val="24"/>
        </w:rPr>
        <w:t xml:space="preserve"> на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Стадии</w:t>
      </w:r>
      <w:r>
        <w:rPr>
          <w:rFonts w:ascii="Times New Roman" w:hAnsi="Times New Roman" w:cs="Times New Roman"/>
          <w:sz w:val="24"/>
          <w:szCs w:val="24"/>
        </w:rPr>
        <w:t xml:space="preserve"> </w:t>
      </w:r>
      <w:r>
        <w:rPr>
          <w:rFonts w:ascii="Times New Roman" w:hAnsi="Times New Roman" w:cs="Times New Roman"/>
          <w:sz w:val="24"/>
          <w:szCs w:val="24"/>
        </w:rPr>
        <w:t xml:space="preserve">создания</w:t>
      </w:r>
      <w:r>
        <w:rPr>
          <w:rFonts w:ascii="Times New Roman" w:hAnsi="Times New Roman" w:cs="Times New Roman"/>
          <w:sz w:val="24"/>
          <w:szCs w:val="24"/>
        </w:rPr>
        <w:t xml:space="preserve">»;</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ГОСТ 34.602-89 «</w:t>
      </w:r>
      <w:r>
        <w:rPr>
          <w:rFonts w:ascii="Times New Roman" w:hAnsi="Times New Roman" w:cs="Times New Roman"/>
          <w:sz w:val="24"/>
          <w:szCs w:val="24"/>
        </w:rPr>
        <w:t xml:space="preserve">Информационная</w:t>
      </w:r>
      <w:r>
        <w:rPr>
          <w:rFonts w:ascii="Times New Roman" w:hAnsi="Times New Roman" w:cs="Times New Roman"/>
          <w:sz w:val="24"/>
          <w:szCs w:val="24"/>
        </w:rPr>
        <w:t xml:space="preserve"> </w:t>
      </w:r>
      <w:r>
        <w:rPr>
          <w:rFonts w:ascii="Times New Roman" w:hAnsi="Times New Roman" w:cs="Times New Roman"/>
          <w:sz w:val="24"/>
          <w:szCs w:val="24"/>
        </w:rPr>
        <w:t xml:space="preserve">технология</w:t>
      </w:r>
      <w:r>
        <w:rPr>
          <w:rFonts w:ascii="Times New Roman" w:hAnsi="Times New Roman" w:cs="Times New Roman"/>
          <w:sz w:val="24"/>
          <w:szCs w:val="24"/>
        </w:rPr>
        <w:t xml:space="preserve">. Комплекс </w:t>
      </w:r>
      <w:r>
        <w:rPr>
          <w:rFonts w:ascii="Times New Roman" w:hAnsi="Times New Roman" w:cs="Times New Roman"/>
          <w:sz w:val="24"/>
          <w:szCs w:val="24"/>
        </w:rPr>
        <w:t xml:space="preserve">стандартов</w:t>
      </w:r>
      <w:r>
        <w:rPr>
          <w:rFonts w:ascii="Times New Roman" w:hAnsi="Times New Roman" w:cs="Times New Roman"/>
          <w:sz w:val="24"/>
          <w:szCs w:val="24"/>
        </w:rPr>
        <w:t xml:space="preserve"> на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Техническое</w:t>
      </w:r>
      <w:r>
        <w:rPr>
          <w:rFonts w:ascii="Times New Roman" w:hAnsi="Times New Roman" w:cs="Times New Roman"/>
          <w:sz w:val="24"/>
          <w:szCs w:val="24"/>
        </w:rPr>
        <w:t xml:space="preserve"> </w:t>
      </w:r>
      <w:r>
        <w:rPr>
          <w:rFonts w:ascii="Times New Roman" w:hAnsi="Times New Roman" w:cs="Times New Roman"/>
          <w:sz w:val="24"/>
          <w:szCs w:val="24"/>
        </w:rPr>
        <w:t xml:space="preserve">задание</w:t>
      </w:r>
      <w:r>
        <w:rPr>
          <w:rFonts w:ascii="Times New Roman" w:hAnsi="Times New Roman" w:cs="Times New Roman"/>
          <w:sz w:val="24"/>
          <w:szCs w:val="24"/>
        </w:rPr>
        <w:t xml:space="preserve"> на </w:t>
      </w:r>
      <w:r>
        <w:rPr>
          <w:rFonts w:ascii="Times New Roman" w:hAnsi="Times New Roman" w:cs="Times New Roman"/>
          <w:sz w:val="24"/>
          <w:szCs w:val="24"/>
        </w:rPr>
        <w:t xml:space="preserve">создание</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автоматизированной</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ГОСТ 34.603-92 «</w:t>
      </w:r>
      <w:r>
        <w:rPr>
          <w:rFonts w:ascii="Times New Roman" w:hAnsi="Times New Roman" w:cs="Times New Roman"/>
          <w:sz w:val="24"/>
          <w:szCs w:val="24"/>
        </w:rPr>
        <w:t xml:space="preserve">Информационная</w:t>
      </w:r>
      <w:r>
        <w:rPr>
          <w:rFonts w:ascii="Times New Roman" w:hAnsi="Times New Roman" w:cs="Times New Roman"/>
          <w:sz w:val="24"/>
          <w:szCs w:val="24"/>
        </w:rPr>
        <w:t xml:space="preserve"> </w:t>
      </w:r>
      <w:r>
        <w:rPr>
          <w:rFonts w:ascii="Times New Roman" w:hAnsi="Times New Roman" w:cs="Times New Roman"/>
          <w:sz w:val="24"/>
          <w:szCs w:val="24"/>
        </w:rPr>
        <w:t xml:space="preserve">технология</w:t>
      </w:r>
      <w:r>
        <w:rPr>
          <w:rFonts w:ascii="Times New Roman" w:hAnsi="Times New Roman" w:cs="Times New Roman"/>
          <w:sz w:val="24"/>
          <w:szCs w:val="24"/>
        </w:rPr>
        <w:t xml:space="preserve">. </w:t>
      </w:r>
      <w:r>
        <w:rPr>
          <w:rFonts w:ascii="Times New Roman" w:hAnsi="Times New Roman" w:cs="Times New Roman"/>
          <w:sz w:val="24"/>
          <w:szCs w:val="24"/>
        </w:rPr>
        <w:t xml:space="preserve">Виды</w:t>
      </w:r>
      <w:r>
        <w:rPr>
          <w:rFonts w:ascii="Times New Roman" w:hAnsi="Times New Roman" w:cs="Times New Roman"/>
          <w:sz w:val="24"/>
          <w:szCs w:val="24"/>
        </w:rPr>
        <w:t xml:space="preserve"> </w:t>
      </w:r>
      <w:r>
        <w:rPr>
          <w:rFonts w:ascii="Times New Roman" w:hAnsi="Times New Roman" w:cs="Times New Roman"/>
          <w:sz w:val="24"/>
          <w:szCs w:val="24"/>
        </w:rPr>
        <w:t xml:space="preserve">испытаний</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автоматизированных</w:t>
      </w:r>
      <w:r>
        <w:rPr>
          <w:rFonts w:ascii="Times New Roman" w:hAnsi="Times New Roman" w:cs="Times New Roman"/>
          <w:sz w:val="24"/>
          <w:szCs w:val="24"/>
        </w:rPr>
        <w:t xml:space="preserve"> систем»;</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РД 50-34.698-90 «</w:t>
      </w:r>
      <w:r>
        <w:rPr>
          <w:rFonts w:ascii="Times New Roman" w:hAnsi="Times New Roman" w:cs="Times New Roman"/>
          <w:sz w:val="24"/>
          <w:szCs w:val="24"/>
        </w:rPr>
        <w:t xml:space="preserve">Методические</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w:t>
      </w:r>
      <w:r>
        <w:rPr>
          <w:rFonts w:ascii="Times New Roman" w:hAnsi="Times New Roman" w:cs="Times New Roman"/>
          <w:sz w:val="24"/>
          <w:szCs w:val="24"/>
        </w:rPr>
        <w:t xml:space="preserve">. </w:t>
      </w:r>
      <w:r>
        <w:rPr>
          <w:rFonts w:ascii="Times New Roman" w:hAnsi="Times New Roman" w:cs="Times New Roman"/>
          <w:sz w:val="24"/>
          <w:szCs w:val="24"/>
        </w:rPr>
        <w:t xml:space="preserve">Информационная</w:t>
      </w:r>
      <w:r>
        <w:rPr>
          <w:rFonts w:ascii="Times New Roman" w:hAnsi="Times New Roman" w:cs="Times New Roman"/>
          <w:sz w:val="24"/>
          <w:szCs w:val="24"/>
        </w:rPr>
        <w:t xml:space="preserve"> </w:t>
      </w:r>
      <w:r>
        <w:rPr>
          <w:rFonts w:ascii="Times New Roman" w:hAnsi="Times New Roman" w:cs="Times New Roman"/>
          <w:sz w:val="24"/>
          <w:szCs w:val="24"/>
        </w:rPr>
        <w:t xml:space="preserve">технология</w:t>
      </w:r>
      <w:r>
        <w:rPr>
          <w:rFonts w:ascii="Times New Roman" w:hAnsi="Times New Roman" w:cs="Times New Roman"/>
          <w:sz w:val="24"/>
          <w:szCs w:val="24"/>
        </w:rPr>
        <w:t xml:space="preserve">. Комплекс </w:t>
      </w:r>
      <w:r>
        <w:rPr>
          <w:rFonts w:ascii="Times New Roman" w:hAnsi="Times New Roman" w:cs="Times New Roman"/>
          <w:sz w:val="24"/>
          <w:szCs w:val="24"/>
        </w:rPr>
        <w:t xml:space="preserve">стандартов</w:t>
      </w:r>
      <w:r>
        <w:rPr>
          <w:rFonts w:ascii="Times New Roman" w:hAnsi="Times New Roman" w:cs="Times New Roman"/>
          <w:sz w:val="24"/>
          <w:szCs w:val="24"/>
        </w:rPr>
        <w:t xml:space="preserve"> и </w:t>
      </w:r>
      <w:r>
        <w:rPr>
          <w:rFonts w:ascii="Times New Roman" w:hAnsi="Times New Roman" w:cs="Times New Roman"/>
          <w:sz w:val="24"/>
          <w:szCs w:val="24"/>
        </w:rPr>
        <w:t xml:space="preserve">руководящих</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документов</w:t>
      </w:r>
      <w:r>
        <w:rPr>
          <w:rFonts w:ascii="Times New Roman" w:hAnsi="Times New Roman" w:cs="Times New Roman"/>
          <w:sz w:val="24"/>
          <w:szCs w:val="24"/>
        </w:rPr>
        <w:t xml:space="preserve"> на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Требования</w:t>
      </w:r>
      <w:r>
        <w:rPr>
          <w:rFonts w:ascii="Times New Roman" w:hAnsi="Times New Roman" w:cs="Times New Roman"/>
          <w:sz w:val="24"/>
          <w:szCs w:val="24"/>
        </w:rPr>
        <w:t xml:space="preserve"> к </w:t>
      </w:r>
      <w:r>
        <w:rPr>
          <w:rFonts w:ascii="Times New Roman" w:hAnsi="Times New Roman" w:cs="Times New Roman"/>
          <w:sz w:val="24"/>
          <w:szCs w:val="24"/>
        </w:rPr>
        <w:t xml:space="preserve">содержанию</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документов</w:t>
      </w:r>
      <w:r>
        <w:rPr>
          <w:rFonts w:ascii="Times New Roman" w:hAnsi="Times New Roman" w:cs="Times New Roman"/>
          <w:sz w:val="24"/>
          <w:szCs w:val="24"/>
        </w:rPr>
        <w:t xml:space="preserve">»;</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ГОСТ 34.201-89 «</w:t>
      </w:r>
      <w:r>
        <w:rPr>
          <w:rFonts w:ascii="Times New Roman" w:hAnsi="Times New Roman" w:cs="Times New Roman"/>
          <w:sz w:val="24"/>
          <w:szCs w:val="24"/>
        </w:rPr>
        <w:t xml:space="preserve">Информационная</w:t>
      </w:r>
      <w:r>
        <w:rPr>
          <w:rFonts w:ascii="Times New Roman" w:hAnsi="Times New Roman" w:cs="Times New Roman"/>
          <w:sz w:val="24"/>
          <w:szCs w:val="24"/>
        </w:rPr>
        <w:t xml:space="preserve"> </w:t>
      </w:r>
      <w:r>
        <w:rPr>
          <w:rFonts w:ascii="Times New Roman" w:hAnsi="Times New Roman" w:cs="Times New Roman"/>
          <w:sz w:val="24"/>
          <w:szCs w:val="24"/>
        </w:rPr>
        <w:t xml:space="preserve">технология</w:t>
      </w:r>
      <w:r>
        <w:rPr>
          <w:rFonts w:ascii="Times New Roman" w:hAnsi="Times New Roman" w:cs="Times New Roman"/>
          <w:sz w:val="24"/>
          <w:szCs w:val="24"/>
        </w:rPr>
        <w:t xml:space="preserve">. Комплекс </w:t>
      </w:r>
      <w:r>
        <w:rPr>
          <w:rFonts w:ascii="Times New Roman" w:hAnsi="Times New Roman" w:cs="Times New Roman"/>
          <w:sz w:val="24"/>
          <w:szCs w:val="24"/>
        </w:rPr>
        <w:t xml:space="preserve">стандартов</w:t>
      </w:r>
      <w:r>
        <w:rPr>
          <w:rFonts w:ascii="Times New Roman" w:hAnsi="Times New Roman" w:cs="Times New Roman"/>
          <w:sz w:val="24"/>
          <w:szCs w:val="24"/>
        </w:rPr>
        <w:t xml:space="preserve"> на </w:t>
      </w:r>
      <w:r>
        <w:rPr>
          <w:rFonts w:ascii="Times New Roman" w:hAnsi="Times New Roman" w:cs="Times New Roman"/>
          <w:sz w:val="24"/>
          <w:szCs w:val="24"/>
        </w:rPr>
        <w:t xml:space="preserve">автоматизированные</w:t>
      </w:r>
      <w:r>
        <w:rPr>
          <w:rFonts w:ascii="Times New Roman" w:hAnsi="Times New Roman" w:cs="Times New Roman"/>
          <w:sz w:val="24"/>
          <w:szCs w:val="24"/>
        </w:rPr>
        <w:t xml:space="preserve"> </w:t>
      </w:r>
      <w:r>
        <w:rPr>
          <w:rFonts w:ascii="Times New Roman" w:hAnsi="Times New Roman" w:cs="Times New Roman"/>
          <w:sz w:val="24"/>
          <w:szCs w:val="24"/>
        </w:rPr>
        <w:t xml:space="preserve">системы</w:t>
      </w:r>
      <w:r>
        <w:rPr>
          <w:rFonts w:ascii="Times New Roman" w:hAnsi="Times New Roman" w:cs="Times New Roman"/>
          <w:sz w:val="24"/>
          <w:szCs w:val="24"/>
        </w:rPr>
        <w:t xml:space="preserve">. </w:t>
      </w:r>
      <w:r>
        <w:rPr>
          <w:rFonts w:ascii="Times New Roman" w:hAnsi="Times New Roman" w:cs="Times New Roman"/>
          <w:sz w:val="24"/>
          <w:szCs w:val="24"/>
        </w:rPr>
        <w:t xml:space="preserve">Виды</w:t>
      </w:r>
      <w:r>
        <w:rPr>
          <w:rFonts w:ascii="Times New Roman" w:hAnsi="Times New Roman" w:cs="Times New Roman"/>
          <w:sz w:val="24"/>
          <w:szCs w:val="24"/>
        </w:rPr>
        <w:t xml:space="preserve">, </w:t>
      </w:r>
      <w:r>
        <w:rPr>
          <w:rFonts w:ascii="Times New Roman" w:hAnsi="Times New Roman" w:cs="Times New Roman"/>
          <w:sz w:val="24"/>
          <w:szCs w:val="24"/>
        </w:rPr>
        <w:t xml:space="preserve">комплектность</w:t>
      </w:r>
      <w:r>
        <w:rPr>
          <w:rFonts w:ascii="Times New Roman" w:hAnsi="Times New Roman" w:cs="Times New Roman"/>
          <w:sz w:val="24"/>
          <w:szCs w:val="24"/>
        </w:rPr>
        <w:t xml:space="preserve"> и </w:t>
      </w:r>
      <w:r>
        <w:rPr>
          <w:rFonts w:ascii="Times New Roman" w:hAnsi="Times New Roman" w:cs="Times New Roman"/>
          <w:sz w:val="24"/>
          <w:szCs w:val="24"/>
        </w:rPr>
        <w:t xml:space="preserve">обозначение</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документов</w:t>
      </w:r>
      <w:r>
        <w:rPr>
          <w:rFonts w:ascii="Times New Roman" w:hAnsi="Times New Roman" w:cs="Times New Roman"/>
          <w:sz w:val="24"/>
          <w:szCs w:val="24"/>
        </w:rPr>
        <w:t xml:space="preserve"> при </w:t>
      </w:r>
      <w:r>
        <w:rPr>
          <w:rFonts w:ascii="Times New Roman" w:hAnsi="Times New Roman" w:cs="Times New Roman"/>
          <w:sz w:val="24"/>
          <w:szCs w:val="24"/>
        </w:rPr>
        <w:t xml:space="preserve">создании</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автоматизированных</w:t>
      </w:r>
      <w:r>
        <w:rPr>
          <w:rFonts w:ascii="Times New Roman" w:hAnsi="Times New Roman" w:cs="Times New Roman"/>
          <w:sz w:val="24"/>
          <w:szCs w:val="24"/>
        </w:rPr>
        <w:t xml:space="preserve"> систем»;</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3396.0-96 «Захист інформації. Технічний захист інформації. Основні положення»;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3396.1-96 «Захист інформації. Технічний захист інформації. Порядок проведення робіт»;</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4278:2019 «Знаки номерні транспортних засобів»;</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1.1-002-99 «Загальні положення щодо захисту інформації в комп’ютерних системах від несанкціонованого доступу»;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1.1-003-99 «Термінологія у галузі захисту інформації в комп’ютерних системах від несанкціонованого доступу»;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3.7-001-99 «Методичні вказівки щодо розробки технічного завдання на створення комплексної системи захисту інформації в автоматизованій системі»;</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1.4-001-2000 «Типове положення про службу захисту інформації в автоматизованій системі»;</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2.5-004-99 «Критерії оцінки захищеності інформації в комп’ютерних системах від несанкціонованого доступу»;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2.5-008-2002 «Вимоги із захисту службової інформації від несанкціонованого доступу під час оброблення в автоматизованих системах класу 2»;</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2.5-010-03 «Вимоги до захисту інформації WEB-сторінки від несанкціонованого доступу»;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3.7-003-2005 «Порядок проведення робіт із створення комплексної системи захисту інформації в інформаційно-телекомунікаційній системі»;</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НД ТЗІ 2.6-001-2011 «Порядок проведення робіт з державної експертизи засобів технічного захисту інформації від несанкціонованого доступу та комплексних систем захисту інформації в інформаційно-телекомунікаційних системах»; </w:t>
      </w:r>
      <w:r/>
    </w:p>
    <w:p>
      <w:pPr>
        <w:ind w:firstLine="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державним стандартам, що розроблені на основі міжнародних:</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12207:2016 «Інженерія систем і програмного забезпечення. Процеси життєвого циклу програмного забезпечення»;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TR 15271:2010 «Інформаційні технології. Настанови щодо застосування ISO/IEC 12207 (Процеси життєвого циклу програмного забезпечення)»;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15288:2016 «Інженерія систем і програмного забезпечення. Процеси життєвого циклу систем»;</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15289:2014 «Інженерія систем і програмного забезпечення. Контент життєвого циклу інформаційної продукції (документації)»;</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16085:2016 «Інженерія систем і програмних засобів. Процеси життєвого циклу. Керування ризиками»;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TR 24748-1:2015 «Розроблення систем і програмного забезпечення. Управління життєвим циклом. Частина 1. Настанова з управління життєвим циклом»;</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TR 24748-2:2015 «Розроблення систем і програмного забезпечення. Управління життєвим циклом. Частина 2. Настанова щодо застосування ISO/IEC 15288 (Процеси життєвого циклу системи)»;</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 ISO/IEC TR 24748-3:2016 «Розроблення систем і програмного забезпечення. Управління життєвим циклом. Частина 3. Настанова щодо застосування ISO/IEC 12207 (Процеси життєвого циклу програмного забезпечення)»;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ДСТУ-П ISO/TR 18529:2015 «Ергономіка. Ергономіка взаємодії «людина-система». Опис </w:t>
      </w:r>
      <w:r>
        <w:rPr>
          <w:rFonts w:ascii="Times New Roman" w:hAnsi="Times New Roman" w:cs="Times New Roman"/>
          <w:sz w:val="24"/>
          <w:szCs w:val="24"/>
        </w:rPr>
        <w:t xml:space="preserve">людиноцентричних</w:t>
      </w:r>
      <w:r>
        <w:rPr>
          <w:rFonts w:ascii="Times New Roman" w:hAnsi="Times New Roman" w:cs="Times New Roman"/>
          <w:sz w:val="24"/>
          <w:szCs w:val="24"/>
        </w:rPr>
        <w:t xml:space="preserve"> процесів життєвого циклу».</w:t>
      </w:r>
      <w:r/>
    </w:p>
    <w:p>
      <w:pPr>
        <w:ind w:left="1068"/>
        <w:jc w:val="both"/>
        <w:spacing w:after="0" w:line="240" w:lineRule="auto"/>
        <w:tabs>
          <w:tab w:val="left" w:pos="106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br w:type="page" w:clear="all"/>
      </w:r>
      <w:r/>
    </w:p>
    <w:p>
      <w:pPr>
        <w:pStyle w:val="685"/>
        <w:numPr>
          <w:ilvl w:val="0"/>
          <w:numId w:val="20"/>
        </w:numPr>
        <w:ind w:left="431" w:firstLine="0"/>
        <w:spacing w:before="0"/>
        <w:tabs>
          <w:tab w:val="num" w:pos="360" w:leader="none"/>
        </w:tabs>
        <w:rPr>
          <w:rFonts w:ascii="Times New Roman" w:hAnsi="Times New Roman" w:cs="Times New Roman"/>
          <w:b/>
          <w:bCs/>
          <w:color w:val="auto"/>
          <w:sz w:val="24"/>
          <w:szCs w:val="24"/>
        </w:rPr>
      </w:pPr>
      <w:r/>
      <w:bookmarkStart w:id="11" w:name="_heading=h.44sinio"/>
      <w:r/>
      <w:bookmarkEnd w:id="11"/>
      <w:r>
        <w:rPr>
          <w:rFonts w:ascii="Times New Roman" w:hAnsi="Times New Roman" w:cs="Times New Roman"/>
          <w:b/>
          <w:bCs/>
          <w:color w:val="auto"/>
          <w:sz w:val="24"/>
          <w:szCs w:val="24"/>
        </w:rPr>
        <w:t xml:space="preserve">Загальний</w:t>
      </w:r>
      <w:r>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опис</w:t>
      </w:r>
      <w:r/>
    </w:p>
    <w:p>
      <w:pPr>
        <w:pStyle w:val="685"/>
        <w:ind w:left="431"/>
        <w:spacing w:before="0"/>
        <w:rPr>
          <w:rFonts w:ascii="Times New Roman" w:hAnsi="Times New Roman" w:cs="Times New Roman"/>
          <w:sz w:val="24"/>
          <w:szCs w:val="24"/>
        </w:rPr>
      </w:pPr>
      <w:r>
        <w:rPr>
          <w:rFonts w:ascii="Times New Roman" w:hAnsi="Times New Roman" w:cs="Times New Roman"/>
          <w:sz w:val="24"/>
          <w:szCs w:val="24"/>
        </w:rPr>
      </w:r>
      <w:r/>
    </w:p>
    <w:p>
      <w:pPr>
        <w:pStyle w:val="686"/>
        <w:numPr>
          <w:ilvl w:val="1"/>
          <w:numId w:val="20"/>
        </w:numPr>
        <w:ind w:left="0" w:firstLine="0"/>
        <w:spacing w:before="0" w:after="0" w:afterAutospacing="0"/>
        <w:tabs>
          <w:tab w:val="num" w:pos="360" w:leader="none"/>
        </w:tabs>
        <w:rPr>
          <w:sz w:val="24"/>
          <w:szCs w:val="24"/>
        </w:rPr>
      </w:pPr>
      <w:r/>
      <w:bookmarkStart w:id="12" w:name="_heading=h.2jxsxqh"/>
      <w:r/>
      <w:bookmarkEnd w:id="12"/>
      <w:r>
        <w:rPr>
          <w:sz w:val="24"/>
          <w:szCs w:val="24"/>
        </w:rPr>
        <w:t xml:space="preserve">Мета створення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Метою </w:t>
      </w:r>
      <w:r>
        <w:rPr>
          <w:rFonts w:ascii="Times New Roman" w:hAnsi="Times New Roman" w:cs="Times New Roman"/>
          <w:sz w:val="24"/>
          <w:szCs w:val="24"/>
        </w:rPr>
        <w:t xml:space="preserve">доопрацювання підсистеми інтеграційної взаємодії з ЄІС МВС є можливість користувачам порталу «Дія» переглядати детальну інформацію про свої порушення у власному електронному кабінеті.</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Метою доопрацювання механізму отримання інформації про оплату за постанови з урахуванням територіальності та приналежності до ОТГ місця скоєння правопорушення (події, що ма</w:t>
      </w:r>
      <w:r>
        <w:rPr>
          <w:rFonts w:ascii="Times New Roman" w:hAnsi="Times New Roman" w:cs="Times New Roman"/>
          <w:color w:val="000000"/>
          <w:sz w:val="24"/>
          <w:szCs w:val="24"/>
        </w:rPr>
        <w:t xml:space="preserve">є ознаки адміністративного правопорушення в сфері безпеки дорожнього руху) з подальшим автоматичним та ручним розбором платежів є можливість обробки платежів, які сплачуються на окремі рахунку ОТГ та мають бути зараховані як сплата за відповідну постанову.</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Метою доопрацювання механізму формування заяви та квитанції постанови, які додаються до повідомлень про примусове стягнення штрафу за складеною постановою про адміністративне право</w:t>
      </w:r>
      <w:r>
        <w:rPr>
          <w:rFonts w:ascii="Times New Roman" w:hAnsi="Times New Roman" w:cs="Times New Roman"/>
          <w:color w:val="000000"/>
          <w:sz w:val="24"/>
          <w:szCs w:val="24"/>
        </w:rPr>
        <w:t xml:space="preserve">порушення в сфері безпеки дорожнього руху сформоване в Системі є надання актуальної інформації щодо платіжних реквізитів та сплачених коштів для кожної постанови з урахуванням територіальності та приналежності до ОТГ, яка передається  до виконавчої служби.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Метою </w:t>
      </w:r>
      <w:r>
        <w:rPr>
          <w:rFonts w:ascii="Times New Roman" w:hAnsi="Times New Roman" w:cs="Times New Roman"/>
          <w:sz w:val="24"/>
          <w:szCs w:val="24"/>
        </w:rPr>
        <w:t xml:space="preserve">доопрацювання підсистеми інтеграційної взаємодії з ІКС «Інформаційний портал Національної поліції України» є потреба співробітникам Національної поліції отримувати інформацію про всі транспортні засоби, які пройшли зону контр</w:t>
      </w:r>
      <w:r>
        <w:rPr>
          <w:rFonts w:ascii="Times New Roman" w:hAnsi="Times New Roman" w:cs="Times New Roman"/>
          <w:sz w:val="24"/>
          <w:szCs w:val="24"/>
        </w:rPr>
        <w:t xml:space="preserve">олю приладів (у тому числі ті, що не порушували ПДР) для здійснення аналізу на предмет перебування їх у розшуку в рамках кримінального, виконавчого проваджень, проваджень у справах про адміністративні правопорушення, оперативно-розшукової діяльності та ін.</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Метою доопрацювання підсистеми інтеграційної взаємодії з Державною податковою службою України є потреба у збільшенні ефективності притягнення до адміністративної відповідальності осіб, які є відповідальними особами таких юридичних осіб власників ТЗ.</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Метою доопрацювання </w:t>
      </w:r>
      <w:r>
        <w:rPr>
          <w:rFonts w:ascii="Times New Roman" w:hAnsi="Times New Roman" w:cs="Times New Roman"/>
          <w:sz w:val="24"/>
          <w:szCs w:val="24"/>
        </w:rPr>
        <w:t xml:space="preserve">АРМів</w:t>
      </w:r>
      <w:r>
        <w:rPr>
          <w:rFonts w:ascii="Times New Roman" w:hAnsi="Times New Roman" w:cs="Times New Roman"/>
          <w:sz w:val="24"/>
          <w:szCs w:val="24"/>
        </w:rPr>
        <w:t xml:space="preserve"> користувачів Системи є покращення користувацького інтерфейсу, його продуктивності та можливостей Системи щодо аналітики, аудиту та моніторингу даних що обробляються.</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Метою створення додаткового АРМ на рівні адміністратора системи є потреба в коригуванні дати оплати та дати вручення рекомендованого листа, як одного з організаційних процесів роботи користувачів.</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Метою доопрацюв</w:t>
      </w:r>
      <w:r>
        <w:rPr>
          <w:rFonts w:ascii="Times New Roman" w:hAnsi="Times New Roman" w:cs="Times New Roman"/>
          <w:sz w:val="24"/>
          <w:szCs w:val="24"/>
        </w:rPr>
        <w:t xml:space="preserve">ання механізму формування повідомлень про примусове виконання є необхідність удосконалення механізмів інтеграційної взаємодії з урахуванням нового API ЗІС, визначення коректного підрозділу ДВС формування повідомлень про несплачені стягнень в справах про ад</w:t>
      </w:r>
      <w:r>
        <w:rPr>
          <w:rFonts w:ascii="Times New Roman" w:hAnsi="Times New Roman" w:cs="Times New Roman"/>
          <w:sz w:val="24"/>
          <w:szCs w:val="24"/>
        </w:rPr>
        <w:t xml:space="preserve">міністративні правопорушення, ініціації відповідного виконавчого провадження стосовно порушника та моніторингу його статусу опрацювання шляхом інформаційної взаємодії з ЗІС, а саме Автоматизованої системи виконавчих проваджень Міністерства юстиції України.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Метою доопрацювання механізму формування постанови є потреба в направленні на повторний розгляд подій, щодо яких вже було прийнято рішення про скасування адміністративної постано</w:t>
      </w:r>
      <w:r>
        <w:rPr>
          <w:rFonts w:ascii="Times New Roman" w:hAnsi="Times New Roman" w:cs="Times New Roman"/>
          <w:sz w:val="24"/>
          <w:szCs w:val="24"/>
        </w:rPr>
        <w:t xml:space="preserve">ви при окремих умовах такого скасування, повернення відхилених подій до черги опрацювання в разі ненадходження інформації про порушника від ЄДРТЗ саме технічних причин на боці зовнішньої інформаційної системи або мережевого каналу інтеграційної взаємодії.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Метою </w:t>
      </w:r>
      <w:r>
        <w:rPr>
          <w:rFonts w:ascii="Times New Roman" w:hAnsi="Times New Roman" w:cs="Times New Roman"/>
          <w:sz w:val="24"/>
          <w:szCs w:val="24"/>
        </w:rPr>
        <w:t xml:space="preserve">доопрацювання підсистеми обліку технічних засобів та приладів контролю та моніторингу їх роботи є підвищення ефективності роботи користувачів з функціоналом підсистеми.</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686"/>
        <w:numPr>
          <w:ilvl w:val="1"/>
          <w:numId w:val="20"/>
        </w:numPr>
        <w:ind w:left="0" w:firstLine="0"/>
        <w:spacing w:before="0" w:after="0" w:afterAutospacing="0"/>
        <w:tabs>
          <w:tab w:val="num" w:pos="360" w:leader="none"/>
        </w:tabs>
        <w:rPr>
          <w:sz w:val="24"/>
          <w:szCs w:val="24"/>
        </w:rPr>
      </w:pPr>
      <w:r/>
      <w:bookmarkStart w:id="13" w:name="_heading=h.z337ya"/>
      <w:r/>
      <w:bookmarkEnd w:id="13"/>
      <w:r>
        <w:rPr>
          <w:sz w:val="24"/>
          <w:szCs w:val="24"/>
        </w:rPr>
        <w:t xml:space="preserve">Інформаційне середовище</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Розроблювані та доопрацьовані підсистеми має оперувати даними, що знаходяться у Системі та мають безпосереднє відношення до персональних даних осіб, які є відповідальними </w:t>
      </w:r>
      <w:r>
        <w:rPr>
          <w:rFonts w:ascii="Times New Roman" w:hAnsi="Times New Roman" w:cs="Times New Roman"/>
          <w:sz w:val="24"/>
          <w:szCs w:val="24"/>
        </w:rPr>
        <w:t xml:space="preserve">за адміністративні правопорушення у сфері забезпечення безпеки дорожнього руху. Також підсистеми засобами Системи мають взаємодіяти з Єдиною інформаційною системою МВС.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Розроблювані та доопрацьовані механізми мають оперувати даними, що знаходяться у Системі та мають безпосереднє відношення до персональних даних осіб, які</w:t>
      </w:r>
      <w:r>
        <w:rPr>
          <w:rFonts w:ascii="Times New Roman" w:hAnsi="Times New Roman" w:cs="Times New Roman"/>
          <w:sz w:val="24"/>
          <w:szCs w:val="24"/>
        </w:rPr>
        <w:t xml:space="preserve"> є відповідальними за адміністративні правопорушення у сфері забезпечення безпеки дорожнього руху. Також механізм має взаємодіяти з довідником територіальних підрозділів ДВС Міністерства юстиції України та довідниками ОТГ та територіального устрою України.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Для здійснення захисту інформації на всіх стадіях життєвого циклу Системи має бути передбачено застосування наступних заходів та засобів захисту інформації:</w:t>
      </w:r>
      <w:r/>
    </w:p>
    <w:p>
      <w:pPr>
        <w:numPr>
          <w:ilvl w:val="0"/>
          <w:numId w:val="18"/>
        </w:numPr>
        <w:ind w:left="0"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організаційно-правові заходи, які реалізуються поза обчислювальною системою ІКС;</w:t>
      </w:r>
      <w:r/>
    </w:p>
    <w:p>
      <w:pPr>
        <w:numPr>
          <w:ilvl w:val="0"/>
          <w:numId w:val="18"/>
        </w:numPr>
        <w:ind w:left="0"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інженерно-технічні заходи, що реалізуються поза обчислювальною системою ІКС;</w:t>
      </w:r>
      <w:r/>
    </w:p>
    <w:p>
      <w:pPr>
        <w:numPr>
          <w:ilvl w:val="0"/>
          <w:numId w:val="18"/>
        </w:numPr>
        <w:ind w:left="0"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апаратні, програмно-апаратні та програмні засоби захисту під час обробки інформації та передачі через незахищене середовище.</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0"/>
          <w:numId w:val="20"/>
        </w:numPr>
        <w:jc w:val="center"/>
        <w:spacing w:after="0" w:line="240" w:lineRule="auto"/>
        <w:rPr>
          <w:rFonts w:ascii="Times New Roman" w:hAnsi="Times New Roman" w:cs="Times New Roman"/>
          <w:b/>
          <w:smallCap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mallCaps/>
          <w:sz w:val="24"/>
          <w:szCs w:val="24"/>
        </w:rPr>
        <w:t xml:space="preserve">ВИМОГИ В ЧАСТИНІ ДООПРАЦЮВАННЯ ПЗ, ВДОСКОНАЛЕННЯ ТА РОЗШИРЕННЯ ФУНКЦІОНАЛЬНИХ МОЖЛИВОСТЕЙ ПЗ</w:t>
      </w:r>
      <w:r/>
    </w:p>
    <w:p>
      <w:pPr>
        <w:pStyle w:val="685"/>
        <w:ind w:left="431"/>
        <w:spacing w:before="0"/>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Підсистеми та механізми, що розробляється чи доопрацьовуються є частиною ІКС, тому вони мають відповідати вимогам, що висуваються до Системи в цілому.</w:t>
      </w:r>
      <w:r/>
    </w:p>
    <w:p>
      <w:pPr>
        <w:ind w:firstLine="709"/>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pStyle w:val="686"/>
        <w:numPr>
          <w:ilvl w:val="1"/>
          <w:numId w:val="20"/>
        </w:numPr>
        <w:ind w:left="0" w:firstLine="567"/>
        <w:spacing w:before="0" w:after="0" w:afterAutospacing="0"/>
        <w:tabs>
          <w:tab w:val="num" w:pos="360" w:leader="none"/>
          <w:tab w:val="left" w:pos="993" w:leader="none"/>
        </w:tabs>
        <w:rPr>
          <w:sz w:val="24"/>
          <w:szCs w:val="24"/>
        </w:rPr>
      </w:pPr>
      <w:r/>
      <w:bookmarkStart w:id="14" w:name="_heading=h.3j2qqm3"/>
      <w:r/>
      <w:bookmarkEnd w:id="14"/>
      <w:r>
        <w:rPr>
          <w:sz w:val="24"/>
          <w:szCs w:val="24"/>
        </w:rPr>
        <w:t xml:space="preserve">Доопрацювання підсистеми інтеграційної взаємодії з зовнішніми інформаційними системами</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5.1.1</w:t>
      </w:r>
      <w:r>
        <w:rPr>
          <w:rFonts w:ascii="Times New Roman" w:hAnsi="Times New Roman" w:cs="Times New Roman"/>
          <w:sz w:val="24"/>
          <w:szCs w:val="24"/>
        </w:rPr>
        <w:tab/>
      </w:r>
      <w:r>
        <w:rPr>
          <w:rFonts w:ascii="Times New Roman" w:hAnsi="Times New Roman" w:cs="Times New Roman"/>
          <w:b/>
          <w:sz w:val="24"/>
          <w:szCs w:val="24"/>
        </w:rPr>
        <w:t xml:space="preserve">Доопрацювання підсистеми інтеграційної взаємодії з ЄІС МВС </w:t>
      </w:r>
      <w:r/>
    </w:p>
    <w:p>
      <w:pPr>
        <w:numPr>
          <w:ilvl w:val="0"/>
          <w:numId w:val="17"/>
        </w:numPr>
        <w:ind w:left="0" w:firstLine="851"/>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Передача зі СФАП до ЄІС МВС (з метою подальшої передачі до порталу «Дія») посилання на картку постанови, а са</w:t>
      </w:r>
      <w:r>
        <w:rPr>
          <w:rFonts w:ascii="Times New Roman" w:hAnsi="Times New Roman" w:cs="Times New Roman"/>
          <w:sz w:val="24"/>
          <w:szCs w:val="24"/>
        </w:rPr>
        <w:t xml:space="preserve">ме на механізм формування картки з детальною інформацією та метаданими. За таким відповідним переданим посиланням запускається механізм генерації тимчасового посилання (обмежений термін валідності 15 хв) на повну карту порушення з  повними даними про таке </w:t>
      </w:r>
      <w:r>
        <w:rPr>
          <w:rFonts w:ascii="Times New Roman" w:hAnsi="Times New Roman" w:cs="Times New Roman"/>
          <w:sz w:val="24"/>
          <w:szCs w:val="24"/>
        </w:rPr>
        <w:t xml:space="preserve">порушення але з прихованими особистими даними відповідальної особи, що його вчинила. При наступному запиті буде генеруватися нове посилання, а реалізація такої інтеграційної взаємодії повинна передбачати механізм підпису запиту від ЗІС з застосуванням КЕП.</w:t>
      </w:r>
      <w:r/>
    </w:p>
    <w:p>
      <w:pPr>
        <w:numPr>
          <w:ilvl w:val="0"/>
          <w:numId w:val="17"/>
        </w:numPr>
        <w:ind w:left="0" w:firstLine="851"/>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Механізм отримання виписок за рахунками ОТГ між ЄІС МВС та СФАП. Зарахування оплати за постанови повинно здійснюватися з урахуванням змін в протоколі обміну виписками за ККДБ 21081801 між єдиною інформаційною системою Міністерства внутрішніх справ У</w:t>
      </w:r>
      <w:r>
        <w:rPr>
          <w:rFonts w:ascii="Times New Roman" w:hAnsi="Times New Roman" w:cs="Times New Roman"/>
          <w:sz w:val="24"/>
          <w:szCs w:val="24"/>
        </w:rPr>
        <w:t xml:space="preserve">країни (далі – ЄІС) та системою фіксації адміністративних правопорушень у сфері забезпечення безпеки дорожнього руху в автоматичному режимі. А саме обмін новими виписками за рахунками ОТГ, що кореспондуються з ПКД розміщеними за територіальністю ОТГ між ЄІ</w:t>
      </w:r>
      <w:r>
        <w:rPr>
          <w:rFonts w:ascii="Times New Roman" w:hAnsi="Times New Roman" w:cs="Times New Roman"/>
          <w:sz w:val="24"/>
          <w:szCs w:val="24"/>
        </w:rPr>
        <w:t xml:space="preserve">С та СФАП шляхом доопрацювання підсистеми інтеграційної взаємодії СФАП із зовнішніми інформаційними системами, з подальшим автоматичним визначенням та зарахуванням сплати відповідних постанов. Крім того необхідно виконати доопрацювання АРМ ручного розбору </w:t>
      </w:r>
      <w:r>
        <w:rPr>
          <w:rFonts w:ascii="Times New Roman" w:hAnsi="Times New Roman" w:cs="Times New Roman"/>
          <w:sz w:val="24"/>
          <w:szCs w:val="24"/>
        </w:rPr>
        <w:t xml:space="preserve">оплат</w:t>
      </w:r>
      <w:r>
        <w:rPr>
          <w:rFonts w:ascii="Times New Roman" w:hAnsi="Times New Roman" w:cs="Times New Roman"/>
          <w:sz w:val="24"/>
          <w:szCs w:val="24"/>
        </w:rPr>
        <w:t xml:space="preserve"> в частині відображення та прив’язки окремих рахунків зарахування платежу.</w:t>
      </w:r>
      <w:r/>
    </w:p>
    <w:p>
      <w:pPr>
        <w:ind w:left="851"/>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5.1.2</w:t>
      </w:r>
      <w:r>
        <w:rPr>
          <w:rFonts w:ascii="Times New Roman" w:hAnsi="Times New Roman" w:cs="Times New Roman"/>
          <w:sz w:val="24"/>
          <w:szCs w:val="24"/>
        </w:rPr>
        <w:tab/>
      </w:r>
      <w:r>
        <w:rPr>
          <w:rFonts w:ascii="Times New Roman" w:hAnsi="Times New Roman" w:cs="Times New Roman"/>
          <w:b/>
          <w:sz w:val="24"/>
          <w:szCs w:val="24"/>
        </w:rPr>
        <w:t xml:space="preserve">Доопрацювання підсистеми інтеграційної взаємодії з оператором почтового зв'язку</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Доопрацювання підсистеми інтеграційної взаємодії з оператором поштового зв'язку з урахуванням оновлень в API національного оператора поштового зв’язку (API інформаційної взаємодії з Укрпошта).</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5.1.3</w:t>
      </w:r>
      <w:r>
        <w:rPr>
          <w:rFonts w:ascii="Times New Roman" w:hAnsi="Times New Roman" w:cs="Times New Roman"/>
          <w:sz w:val="24"/>
          <w:szCs w:val="24"/>
        </w:rPr>
        <w:tab/>
      </w:r>
      <w:r>
        <w:rPr>
          <w:rFonts w:ascii="Times New Roman" w:hAnsi="Times New Roman" w:cs="Times New Roman"/>
          <w:b/>
          <w:sz w:val="24"/>
          <w:szCs w:val="24"/>
        </w:rPr>
        <w:t xml:space="preserve">Доопрацювання підсистеми інтеграційної взаємодії з автоматизованою системою виконавчого провадження «АСВП»</w:t>
      </w:r>
      <w:r/>
    </w:p>
    <w:p>
      <w:pPr>
        <w:numPr>
          <w:ilvl w:val="0"/>
          <w:numId w:val="17"/>
        </w:numPr>
        <w:ind w:left="0" w:firstLine="851"/>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Доопрацювання механізму обміну інформ</w:t>
      </w:r>
      <w:r>
        <w:rPr>
          <w:rFonts w:ascii="Times New Roman" w:hAnsi="Times New Roman" w:cs="Times New Roman"/>
          <w:sz w:val="24"/>
          <w:szCs w:val="24"/>
        </w:rPr>
        <w:t xml:space="preserve">ацією про заяву на примусове стягнення з АСВП з урахуванням змін нормативних документів про зарахування штрафу на рахунки у відповідності до даних ОТГ місця скоєння правопорушення з квитанцією на таку оплату та копією постанови. Враховуючи зміни при оплаті</w:t>
      </w:r>
      <w:r>
        <w:rPr>
          <w:rFonts w:ascii="Times New Roman" w:hAnsi="Times New Roman" w:cs="Times New Roman"/>
          <w:sz w:val="24"/>
          <w:szCs w:val="24"/>
        </w:rPr>
        <w:t xml:space="preserve"> постанов за територіальністю ОТГ необхідно провести доопрацювання для надання виконавчій службі актуальної інформації та відображення в заяві на примусове виконання рішень та в квитанції про сплату адміністративного штрафу постанови рахунків відповідних т</w:t>
      </w:r>
      <w:r>
        <w:rPr>
          <w:rFonts w:ascii="Times New Roman" w:hAnsi="Times New Roman" w:cs="Times New Roman"/>
          <w:sz w:val="24"/>
          <w:szCs w:val="24"/>
        </w:rPr>
        <w:t xml:space="preserve">ериторіальних громад, яка надсилається системою фіксації адміністративних правопорушень у сфері забезпечення безпеки дорожнього руху в автоматичному режимі (далі – СФАП) шляхом електронної взаємодії до органів державної виконавчої служби. А саме необхідно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зміни до форми заяви та квитанції по</w:t>
      </w:r>
      <w:r>
        <w:rPr>
          <w:rFonts w:ascii="Times New Roman" w:hAnsi="Times New Roman" w:cs="Times New Roman"/>
          <w:sz w:val="24"/>
          <w:szCs w:val="24"/>
        </w:rPr>
        <w:t xml:space="preserve">станови, які надсилаються до органів державної виконавчої служби шляхом відповідного доопрацювання механізму формування повідомлень про примусове виконання постанови та механізм інформаційного обміну з Автоматизованою системою виконавчого провадження СФАП.</w:t>
      </w:r>
      <w:r/>
    </w:p>
    <w:p>
      <w:pPr>
        <w:numPr>
          <w:ilvl w:val="0"/>
          <w:numId w:val="17"/>
        </w:numPr>
        <w:ind w:left="0" w:firstLine="851"/>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Внести</w:t>
      </w:r>
      <w:r>
        <w:rPr>
          <w:rFonts w:ascii="Times New Roman" w:hAnsi="Times New Roman" w:cs="Times New Roman"/>
          <w:sz w:val="24"/>
          <w:szCs w:val="24"/>
        </w:rPr>
        <w:t xml:space="preserve"> зміни в підсистеми інтеграційної взаємодії з АСВП з урахуванням оновленого API обміну АСВП ДВС. Розширення функціоналу щодо отримання довідників ДВС та контролю статусу проходження виконавчого провадження з урахуванням таких змін в API ЗІС.</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5.1.4</w:t>
      </w:r>
      <w:r>
        <w:rPr>
          <w:rFonts w:ascii="Times New Roman" w:hAnsi="Times New Roman" w:cs="Times New Roman"/>
          <w:sz w:val="24"/>
          <w:szCs w:val="24"/>
        </w:rPr>
        <w:tab/>
      </w:r>
      <w:r>
        <w:rPr>
          <w:rFonts w:ascii="Times New Roman" w:hAnsi="Times New Roman" w:cs="Times New Roman"/>
          <w:b/>
          <w:sz w:val="24"/>
          <w:szCs w:val="24"/>
        </w:rPr>
        <w:t xml:space="preserve">Доопрацювання підсистеми інтеграційної взаємодії з ІКС «Інформаційний портал Національної поліції України»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Реалізація взаємодії з підсистемою «Гарпун» інформаційно-комунікаційної системи «Інформаційний портал Національної поліції України» (далі ІПНП). Реалізація передбачає вз</w:t>
      </w:r>
      <w:r>
        <w:rPr>
          <w:rFonts w:ascii="Times New Roman" w:hAnsi="Times New Roman" w:cs="Times New Roman"/>
          <w:sz w:val="24"/>
          <w:szCs w:val="24"/>
        </w:rPr>
        <w:t xml:space="preserve">аємодію функціональних підсистем ЄІС МВС для передачі відомостей від СФАП до інформаційно-комунікаційної системи «Інформаційний портал Національної поліції України» за протоколом обміну даними (API) ІПНП. Необхідно забезпечити можливість надання наявної в </w:t>
      </w:r>
      <w:r>
        <w:rPr>
          <w:rFonts w:ascii="Times New Roman" w:hAnsi="Times New Roman" w:cs="Times New Roman"/>
          <w:sz w:val="24"/>
          <w:szCs w:val="24"/>
        </w:rPr>
        <w:t xml:space="preserve">СФАП інформації (що була передана з приладів контролю до СФАП, в підсистему збору та обробки даних) про транспортні засоби, які пройшли зону контролю приладів (у тому числі ті, що не порушували ПДР в разі передачі таких даних до СФАП від приладів контролю)</w:t>
      </w:r>
      <w:r>
        <w:rPr>
          <w:rFonts w:ascii="Times New Roman" w:hAnsi="Times New Roman" w:cs="Times New Roman"/>
          <w:sz w:val="24"/>
          <w:szCs w:val="24"/>
        </w:rPr>
        <w:t xml:space="preserve"> до ІПНП з метою подальшого здійснення аналізу на предмет перебування їх у розшуку в рамках кримінального, виконавчого проваджень, проваджень у справах про адміністративні правопорушення, оперативно-розшукової діяльності, а також за ухвалою слідчого судді.</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5.1.5</w:t>
      </w:r>
      <w:r>
        <w:rPr>
          <w:rFonts w:ascii="Times New Roman" w:hAnsi="Times New Roman" w:cs="Times New Roman"/>
          <w:sz w:val="24"/>
          <w:szCs w:val="24"/>
        </w:rPr>
        <w:tab/>
      </w:r>
      <w:r>
        <w:rPr>
          <w:rFonts w:ascii="Times New Roman" w:hAnsi="Times New Roman" w:cs="Times New Roman"/>
          <w:b/>
          <w:sz w:val="24"/>
          <w:szCs w:val="24"/>
        </w:rPr>
        <w:t xml:space="preserve">Доопрацювання підсистеми інтеграційної взаємодії з Державною податковою службою України засобами ЄІС МВС</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Обмін даними між СФАП та Державною податковою службою України засобами ЄІС МВС з метою отримання достовірних даних про керівників юридичних осіб та реалізація алгоритму складання постанови відносно керівника юридичної особи за актуальною юридичною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в разі відсутності повної інформації про адресу такої фізичної особи в облікових даних ЄДРТЗ. В підсистемі необхідно розробити механізм уточнення КОУТТУ за поштовим індексом з визначеної повної адреси направлення постанови через API Укрпошти, я</w:t>
      </w:r>
      <w:r>
        <w:rPr>
          <w:rFonts w:ascii="Times New Roman" w:hAnsi="Times New Roman" w:cs="Times New Roman"/>
          <w:sz w:val="24"/>
          <w:szCs w:val="24"/>
        </w:rPr>
        <w:t xml:space="preserve">к обов'язкового атрибуту для формування постанови та подальшого інформаційного обміну про неї. Передача до РАП постанов відносно осіб, інформація про яких відсутня в облікових реєстрах МВС( ЄДРТЗ, зі створенням фізичної особи за окремим механізмом ЄДРТЗ ).</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p>
    <w:p>
      <w:pPr>
        <w:numPr>
          <w:ilvl w:val="1"/>
          <w:numId w:val="20"/>
        </w:numPr>
        <w:ind w:left="0"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Доопрацювання АРМ</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b/>
          <w:sz w:val="24"/>
          <w:szCs w:val="24"/>
        </w:rPr>
        <w:t xml:space="preserve">5.2.1</w:t>
      </w:r>
      <w:r>
        <w:rPr>
          <w:rFonts w:ascii="Times New Roman" w:hAnsi="Times New Roman" w:cs="Times New Roman"/>
          <w:b/>
          <w:sz w:val="24"/>
          <w:szCs w:val="24"/>
        </w:rPr>
        <w:tab/>
        <w:t xml:space="preserve">Доопрацювання АРМ Розбір </w:t>
      </w:r>
      <w:r>
        <w:rPr>
          <w:rFonts w:ascii="Times New Roman" w:hAnsi="Times New Roman" w:cs="Times New Roman"/>
          <w:b/>
          <w:sz w:val="24"/>
          <w:szCs w:val="24"/>
        </w:rPr>
        <w:t xml:space="preserve">оплат</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Відображення в автоматизованому робочому місті «Розбір </w:t>
      </w:r>
      <w:r>
        <w:rPr>
          <w:rFonts w:ascii="Times New Roman" w:hAnsi="Times New Roman" w:cs="Times New Roman"/>
          <w:sz w:val="24"/>
          <w:szCs w:val="24"/>
        </w:rPr>
        <w:t xml:space="preserve">оплат</w:t>
      </w:r>
      <w:r>
        <w:rPr>
          <w:rFonts w:ascii="Times New Roman" w:hAnsi="Times New Roman" w:cs="Times New Roman"/>
          <w:sz w:val="24"/>
          <w:szCs w:val="24"/>
        </w:rPr>
        <w:t xml:space="preserve">» рахунку отримувача, за яким здійснено оплату за постановою.</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5.2.2</w:t>
      </w:r>
      <w:r>
        <w:rPr>
          <w:rFonts w:ascii="Times New Roman" w:hAnsi="Times New Roman" w:cs="Times New Roman"/>
          <w:b/>
          <w:sz w:val="24"/>
          <w:szCs w:val="24"/>
        </w:rPr>
        <w:tab/>
        <w:t xml:space="preserve">Доопрацювання АРМ Аналітика</w:t>
      </w:r>
      <w:r/>
    </w:p>
    <w:p>
      <w:pPr>
        <w:pStyle w:val="713"/>
        <w:ind w:firstLine="709"/>
        <w:spacing w:line="240" w:lineRule="auto"/>
        <w:rPr>
          <w:rStyle w:val="712"/>
          <w:szCs w:val="24"/>
        </w:rPr>
      </w:pPr>
      <w:r>
        <w:rPr>
          <w:rStyle w:val="712"/>
          <w:szCs w:val="24"/>
        </w:rPr>
        <w:t xml:space="preserve">Реалізувати в Системі автоматизоване формування статистичних даних за визначеними параметр</w:t>
      </w:r>
      <w:r>
        <w:rPr>
          <w:rStyle w:val="712"/>
          <w:szCs w:val="24"/>
        </w:rPr>
        <w:t xml:space="preserve">ами. Це дозволить зменшити час на підготовку необхідних статистичних та аналітичних даних щодо роботи Системи для інформування керівництва та суспільства. Також необхідно забезпечити можливість експорту сформованих статистичних даних для подальшої обробки.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Доповнення статистичними даними, необхідними для аналізу роботи СФАП щодо сум сплачених штрафів за кожною ОТГ та приладами окремо та звітності по обробці унікальних подій за період часу.</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5.2.3</w:t>
      </w:r>
      <w:r>
        <w:rPr>
          <w:rFonts w:ascii="Times New Roman" w:hAnsi="Times New Roman" w:cs="Times New Roman"/>
          <w:b/>
          <w:sz w:val="24"/>
          <w:szCs w:val="24"/>
        </w:rPr>
        <w:tab/>
        <w:t xml:space="preserve">Доопрацювання АРМ Аудит</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Створити можливості здійснювати аудит відхилених подій з використанням інструментів підвищення ефективності (обробка групи подій, пошук, фільтрація).</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5.2.4</w:t>
      </w:r>
      <w:r>
        <w:rPr>
          <w:rFonts w:ascii="Times New Roman" w:hAnsi="Times New Roman" w:cs="Times New Roman"/>
          <w:b/>
          <w:sz w:val="24"/>
          <w:szCs w:val="24"/>
        </w:rPr>
        <w:tab/>
        <w:t xml:space="preserve">Доопрацювання АРМ Архів</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Внести</w:t>
      </w:r>
      <w:r>
        <w:rPr>
          <w:rFonts w:ascii="Times New Roman" w:hAnsi="Times New Roman" w:cs="Times New Roman"/>
          <w:sz w:val="24"/>
          <w:szCs w:val="24"/>
        </w:rPr>
        <w:t xml:space="preserve"> зміни відповідно до вимог Департаменту патрульної поліції по схемі зберігання та конфігурац</w:t>
      </w:r>
      <w:r>
        <w:rPr>
          <w:rFonts w:ascii="Times New Roman" w:hAnsi="Times New Roman" w:cs="Times New Roman"/>
          <w:sz w:val="24"/>
          <w:szCs w:val="24"/>
        </w:rPr>
        <w:t xml:space="preserve">ії архіву, здійснити інтеграцію із сервісом Укрпошти «Вчасно» в частині отримання документів, повернутих за результатами доставки рекомендованих листів в автоматичному режимі (вимагає реалізації обміну такими даними на стороні оператора поштового зв'язку).</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5.2.5</w:t>
      </w:r>
      <w:r>
        <w:rPr>
          <w:rFonts w:ascii="Times New Roman" w:hAnsi="Times New Roman" w:cs="Times New Roman"/>
          <w:b/>
          <w:sz w:val="24"/>
          <w:szCs w:val="24"/>
        </w:rPr>
        <w:tab/>
        <w:t xml:space="preserve">Доопрацювання АРМ Відміни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Забезпечити можливість скасовувати постанову засобами Системи з подальшою передачею інформації до РАП з оновленням стату</w:t>
      </w:r>
      <w:r>
        <w:rPr>
          <w:rFonts w:ascii="Times New Roman" w:hAnsi="Times New Roman" w:cs="Times New Roman"/>
          <w:sz w:val="24"/>
          <w:szCs w:val="24"/>
        </w:rPr>
        <w:t xml:space="preserve">су РАП з подальшим поверненням події до черги опрацювання подій в разі виявлення підстав для повторного розгляду (з контролем терміну розгляду події). Відповідний механізм такої інтеграційної взаємодії забезпечується засобами та методами РАП через ЄІС МВС.</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5.2.6 Доопрацювання АРМ Прив’язка локацій до ОТГ</w:t>
      </w:r>
      <w:r/>
    </w:p>
    <w:p>
      <w:pPr>
        <w:ind w:firstLine="708"/>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Доповнити інтерфейс сторінки інформаційним полем про ОТГ при попередньому перегляді пристроїв, групування пристроїв. </w:t>
      </w:r>
      <w:r/>
    </w:p>
    <w:p>
      <w:pPr>
        <w:ind w:firstLine="708"/>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Перейменувати назву першої сторінки: «ПРИВ’ЯЗКА ЛОКАЦІЙ ДО ОТГ» на «ПРИВ’ЯЗКА ПРИСТРОЇВ ДО ОТГ», перейменувати назви списків на першій сторінці зі «Список локацій, які потребують встановлення ОТГ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для яких вже встановлено ОТГ» на «Список пристроїв, які потребують встановлення ОТГ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для яких вже встановлено ОТГ». Відобразити атрибут дати додавання пристрою (далі -ДДП) над значенням </w:t>
      </w:r>
      <w:r>
        <w:rPr>
          <w:rFonts w:ascii="Times New Roman" w:hAnsi="Times New Roman" w:cs="Times New Roman"/>
          <w:color w:val="000000"/>
          <w:sz w:val="24"/>
          <w:szCs w:val="24"/>
        </w:rPr>
        <w:t xml:space="preserve">гео</w:t>
      </w:r>
      <w:r>
        <w:rPr>
          <w:rFonts w:ascii="Times New Roman" w:hAnsi="Times New Roman" w:cs="Times New Roman"/>
          <w:color w:val="000000"/>
          <w:sz w:val="24"/>
          <w:szCs w:val="24"/>
        </w:rPr>
        <w:t xml:space="preserve">-локації, як при попередньому перегля</w:t>
      </w:r>
      <w:r>
        <w:rPr>
          <w:rFonts w:ascii="Times New Roman" w:hAnsi="Times New Roman" w:cs="Times New Roman"/>
          <w:color w:val="000000"/>
          <w:sz w:val="24"/>
          <w:szCs w:val="24"/>
        </w:rPr>
        <w:t xml:space="preserve">ді (вказувати при групування пристроїв ДДП, що було додано останнім), так і при детальному перегляді інформації про пристрої (вказувати ДДП для кожної версії пристрою окремо). Згрупувати пристрої за версіями, відобразивши останню з початку списку, найстарі</w:t>
      </w:r>
      <w:r>
        <w:rPr>
          <w:rFonts w:ascii="Times New Roman" w:hAnsi="Times New Roman" w:cs="Times New Roman"/>
          <w:color w:val="000000"/>
          <w:sz w:val="24"/>
          <w:szCs w:val="24"/>
        </w:rPr>
        <w:t xml:space="preserve">шу в кінці, згруповані версії пристроїв об’єднати за ОТГ, згруповані за ОТГ об’єднати за регіонами. Для другої сторінки – «Прив’язка локацій до ОТГ» згрупувати ОТГ за регіонами – відобразити списком. Алгоритм розгортання списків представлений в рисунок 1. </w:t>
      </w:r>
      <w:r/>
    </w:p>
    <w:p>
      <w:pPr>
        <w:ind w:firstLine="708"/>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mc:AlternateContent>
          <mc:Choice Requires="wpg">
            <w:drawing>
              <wp:inline xmlns:wp="http://schemas.openxmlformats.org/drawingml/2006/wordprocessingDrawing" distT="0" distB="0" distL="0" distR="0">
                <wp:extent cx="4168655" cy="5114925"/>
                <wp:effectExtent l="0" t="0" r="381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tretch/>
                      </pic:blipFill>
                      <pic:spPr bwMode="auto">
                        <a:xfrm>
                          <a:off x="0" y="0"/>
                          <a:ext cx="4187714" cy="5138311"/>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8.2pt;height:402.8pt;mso-wrap-distance-left:0.0pt;mso-wrap-distance-top:0.0pt;mso-wrap-distance-right:0.0pt;mso-wrap-distance-bottom:0.0pt;">
                <v:path textboxrect="0,0,0,0"/>
                <v:imagedata r:id="rId12" o:title=""/>
              </v:shape>
            </w:pict>
          </mc:Fallback>
        </mc:AlternateContent>
      </w:r>
      <w:r/>
    </w:p>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Рисунок 1</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5.2.7</w:t>
      </w:r>
      <w:r>
        <w:rPr>
          <w:rFonts w:ascii="Times New Roman" w:hAnsi="Times New Roman" w:cs="Times New Roman"/>
          <w:b/>
          <w:sz w:val="24"/>
          <w:szCs w:val="24"/>
        </w:rPr>
        <w:tab/>
        <w:t xml:space="preserve">АРМ коригування дати оплати та дати вручення</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Створити АРМ на рівні адміністратора систе</w:t>
      </w:r>
      <w:r>
        <w:rPr>
          <w:rFonts w:ascii="Times New Roman" w:hAnsi="Times New Roman" w:cs="Times New Roman"/>
          <w:sz w:val="24"/>
          <w:szCs w:val="24"/>
        </w:rPr>
        <w:t xml:space="preserve">ми для можливості коригування дати оплати та дати вручення рекомендованого листа. Реалізацію необхідно забезпечити на адміністративному рівні (Адміністратор системи) Коригування оплати впливає на алгоритм формування суми стягнення. На організаційному рівна</w:t>
      </w:r>
      <w:r>
        <w:rPr>
          <w:rFonts w:ascii="Times New Roman" w:hAnsi="Times New Roman" w:cs="Times New Roman"/>
          <w:sz w:val="24"/>
          <w:szCs w:val="24"/>
        </w:rPr>
        <w:t xml:space="preserve"> користувачі системи передають письмову заяву на відповідну зміну до адміністратора системи, які шляхом реалізації відповідного функціоналу в такому АРМ вносить коригування за датою оплати та датою вручення рекомендованого листа щодо відповідної постанови.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p>
    <w:p>
      <w:pPr>
        <w:numPr>
          <w:ilvl w:val="1"/>
          <w:numId w:val="20"/>
        </w:numPr>
        <w:ind w:left="0" w:firstLine="709"/>
        <w:jc w:val="both"/>
        <w:spacing w:after="0" w:line="240" w:lineRule="auto"/>
        <w:tabs>
          <w:tab w:val="left" w:pos="1134" w:leader="none"/>
        </w:tabs>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bookmarkStart w:id="15" w:name="_heading=h.1y810tw"/>
      <w:r/>
      <w:bookmarkEnd w:id="15"/>
      <w:r>
        <w:rPr>
          <w:rFonts w:ascii="Times New Roman" w:hAnsi="Times New Roman" w:cs="Times New Roman"/>
          <w:b/>
          <w:sz w:val="24"/>
          <w:szCs w:val="24"/>
        </w:rPr>
        <w:t xml:space="preserve">Доопрацювання підсистем та механізмів СФАП</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5.3.1</w:t>
      </w:r>
      <w:r>
        <w:rPr>
          <w:rFonts w:ascii="Times New Roman" w:hAnsi="Times New Roman" w:cs="Times New Roman"/>
          <w:b/>
          <w:sz w:val="24"/>
          <w:szCs w:val="24"/>
        </w:rPr>
        <w:tab/>
        <w:t xml:space="preserve">Доопрацювання механізму формування повідомлень про примусове виконання</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 зв’язку зі змінами територіальних підрозділів Державної виконавчої служби (ДВС), необхідно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відповідні зміни в довідник територіальних підрозділів ДВС в Системі. Доопрацювання необхідне для забезпечення повідомлення коректного підр</w:t>
      </w:r>
      <w:r>
        <w:rPr>
          <w:rFonts w:ascii="Times New Roman" w:hAnsi="Times New Roman" w:cs="Times New Roman"/>
          <w:sz w:val="24"/>
          <w:szCs w:val="24"/>
        </w:rPr>
        <w:t xml:space="preserve">озділу ДВС про наявність несплачених стягнень в справах про адміністративні правопорушення та ініціації відповідного виконавчого провадження стосовно порушника, обмін з АСВП статусом проходження такої постанови про примусове стягнення (статус провадження).</w:t>
      </w:r>
      <w:r/>
    </w:p>
    <w:p>
      <w:pPr>
        <w:ind w:firstLine="709"/>
        <w:jc w:val="both"/>
        <w:spacing w:after="0" w:line="240" w:lineRule="auto"/>
        <w:tabs>
          <w:tab w:val="left" w:pos="1134" w:leader="none"/>
        </w:tabs>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5.3.2</w:t>
      </w:r>
      <w:r>
        <w:rPr>
          <w:rFonts w:ascii="Times New Roman" w:hAnsi="Times New Roman" w:cs="Times New Roman"/>
          <w:b/>
          <w:sz w:val="24"/>
          <w:szCs w:val="24"/>
        </w:rPr>
        <w:tab/>
        <w:t xml:space="preserve">Доопрацювання механізму формування постанови</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Реалізація можливості направлення події, що містить ознаки адміністративного правопорушення, на новий розгляд після скасування постанови з поверненням до черги опрацювання подій в разі виявлення підстав для повторного розгляду.</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Розр</w:t>
      </w:r>
      <w:r>
        <w:rPr>
          <w:rFonts w:ascii="Times New Roman" w:hAnsi="Times New Roman" w:cs="Times New Roman"/>
          <w:sz w:val="24"/>
          <w:szCs w:val="24"/>
        </w:rPr>
        <w:t xml:space="preserve">обити алгоритм, що дозволить повернення відхилених подій до черги опрацювання в разі ненадходження інформації про порушника від ЄДРТЗ саме з технічних причин на боці зовнішньої інформаційної системи або мережевого каналу інтеграційної взаємодії. Відхилені </w:t>
      </w:r>
      <w:r>
        <w:rPr>
          <w:rFonts w:ascii="Times New Roman" w:hAnsi="Times New Roman" w:cs="Times New Roman"/>
          <w:sz w:val="24"/>
          <w:szCs w:val="24"/>
        </w:rPr>
        <w:t xml:space="preserve">події за таких умов повертаються до черги розгляду з метою повторного направлення запиту до ЗІС та нової спроби отримати атрибутивну частини постанови для її формування та розгляду.</w:t>
      </w:r>
      <w:r/>
    </w:p>
    <w:p>
      <w:pPr>
        <w:ind w:firstLine="709"/>
        <w:jc w:val="both"/>
        <w:spacing w:after="0" w:line="240" w:lineRule="auto"/>
        <w:tabs>
          <w:tab w:val="left" w:pos="1134" w:leader="none"/>
        </w:tabs>
        <w:rPr>
          <w:rFonts w:ascii="Times New Roman" w:hAnsi="Times New Roman" w:cs="Times New Roman"/>
          <w:b/>
          <w:sz w:val="24"/>
          <w:szCs w:val="24"/>
        </w:rPr>
      </w:pPr>
      <w:r>
        <w:rPr>
          <w:rFonts w:ascii="Times New Roman" w:hAnsi="Times New Roman" w:cs="Times New Roman"/>
          <w:b/>
          <w:sz w:val="24"/>
          <w:szCs w:val="24"/>
        </w:rPr>
        <w:t xml:space="preserve">5.3.3</w:t>
      </w:r>
      <w:r>
        <w:rPr>
          <w:rFonts w:ascii="Times New Roman" w:hAnsi="Times New Roman" w:cs="Times New Roman"/>
          <w:b/>
          <w:sz w:val="24"/>
          <w:szCs w:val="24"/>
        </w:rPr>
        <w:tab/>
        <w:t xml:space="preserve">Доопрацювання підсистеми обліку технічних засобів та приладів контролю та моніторингу їх роботи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Необхідно виконати доопрацювання та вдосконалення інтерфейсу користувача та додати інструменти підвищення ефективності, а саме фільтрації та можливості сортувати за певними параметрами. Крім того необхідно додати функціонал на</w:t>
      </w:r>
      <w:r>
        <w:rPr>
          <w:rFonts w:ascii="Times New Roman" w:hAnsi="Times New Roman" w:cs="Times New Roman"/>
          <w:sz w:val="24"/>
          <w:szCs w:val="24"/>
        </w:rPr>
        <w:t xml:space="preserve">копичення історії стану приладів контролю та статистики фіксації подій. Додати можливість перегляду стану та статистики по приладах за добу в історичній ретроспективі та удосконалити користувацький інтерфейс відображення карток та переходів між сторінками.</w:t>
      </w:r>
      <w:r/>
    </w:p>
    <w:p>
      <w:pPr>
        <w:ind w:firstLine="709"/>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r>
      <w:r/>
    </w:p>
    <w:p>
      <w:pPr>
        <w:pStyle w:val="686"/>
        <w:numPr>
          <w:ilvl w:val="1"/>
          <w:numId w:val="19"/>
        </w:numPr>
        <w:ind w:left="0" w:firstLine="709"/>
        <w:spacing w:before="0" w:after="0" w:afterAutospacing="0"/>
        <w:tabs>
          <w:tab w:val="num" w:pos="360" w:leader="none"/>
          <w:tab w:val="left" w:pos="1134" w:leader="none"/>
        </w:tabs>
        <w:rPr>
          <w:sz w:val="24"/>
          <w:szCs w:val="24"/>
        </w:rPr>
      </w:pPr>
      <w:r/>
      <w:bookmarkStart w:id="16" w:name="_heading=h.4i7ojhp"/>
      <w:r/>
      <w:bookmarkEnd w:id="16"/>
      <w:r>
        <w:rPr>
          <w:sz w:val="24"/>
          <w:szCs w:val="24"/>
        </w:rPr>
        <w:t xml:space="preserve">Режим експлуатації</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Передбачається, що частина підсистем буде запускатись із заданою періодичністю для отримання та обробки інформації для всіх накопичених за попередній період випадків, коли необхідн</w:t>
      </w:r>
      <w:r>
        <w:rPr>
          <w:rFonts w:ascii="Times New Roman" w:hAnsi="Times New Roman" w:cs="Times New Roman"/>
          <w:sz w:val="24"/>
          <w:szCs w:val="24"/>
        </w:rPr>
        <w:t xml:space="preserve">о актуалізувати статуси постанов або передати дані до зовнішніх інформаційних систем. Також такі підсистеми можна буде запустити в будь-який момент часу за потребою. Частина механізмів  буде запускатись разом з Системою та працювати в автоматичному режимі.</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Експлуатація підсистеми та механізму повинна враховувати такі основні режими функціонування:</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штатний режим – основний режим функціонування, коли виконується повний набір необхідних функцій з максимальною продуктивністю;</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режим системного адміністрування – використовується для супроводу, у тому числі для змін конфігурації, параметрів роботи, налаштувань, виконання регламентного обслуговування програмно-технічних засобів;</w:t>
      </w:r>
      <w:r/>
    </w:p>
    <w:p>
      <w:pPr>
        <w:numPr>
          <w:ilvl w:val="0"/>
          <w:numId w:val="18"/>
        </w:numPr>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аварійний </w:t>
      </w:r>
      <w:r>
        <w:rPr>
          <w:rFonts w:ascii="Times New Roman" w:hAnsi="Times New Roman" w:cs="Times New Roman"/>
          <w:sz w:val="24"/>
          <w:szCs w:val="24"/>
        </w:rPr>
        <w:t xml:space="preserve">режим – режим, у якому один або декілька компонентів Системи обмежують функціональність у випадку виявлення помилок, які не обов'язково призводять до повної зупинки обслуговування (наприклад, недоступність будь-якої з не критичних БД або зовнішніх систем).</w:t>
      </w:r>
      <w:r/>
    </w:p>
    <w:p>
      <w:pPr>
        <w:ind w:left="708"/>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pStyle w:val="686"/>
        <w:numPr>
          <w:ilvl w:val="1"/>
          <w:numId w:val="19"/>
        </w:numPr>
        <w:ind w:left="0" w:firstLine="709"/>
        <w:jc w:val="both"/>
        <w:spacing w:before="0" w:after="0" w:afterAutospacing="0"/>
        <w:tabs>
          <w:tab w:val="num" w:pos="360" w:leader="none"/>
          <w:tab w:val="left" w:pos="1134" w:leader="none"/>
        </w:tabs>
        <w:rPr>
          <w:sz w:val="24"/>
          <w:szCs w:val="24"/>
        </w:rPr>
      </w:pPr>
      <w:r/>
      <w:bookmarkStart w:id="17" w:name="_heading=h.2xcytpi"/>
      <w:r/>
      <w:bookmarkEnd w:id="17"/>
      <w:r>
        <w:rPr>
          <w:sz w:val="24"/>
          <w:szCs w:val="24"/>
        </w:rPr>
        <w:t xml:space="preserve">Шляхи вдосконалення та модернізації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Розвиток інформаційних технологій</w:t>
      </w:r>
      <w:r>
        <w:rPr>
          <w:rFonts w:ascii="Times New Roman" w:hAnsi="Times New Roman" w:cs="Times New Roman"/>
          <w:sz w:val="24"/>
          <w:szCs w:val="24"/>
        </w:rPr>
        <w:t xml:space="preserve">, удосконалення ділових процесів та зміни на законодавчому рівні, а також оновлення та нарощування потужності апаратного забезпечення, зміні та розвиток програмного забезпечення зовнішніх систем, запровадження нових протоколів та зміни чи вдосконалення про</w:t>
      </w:r>
      <w:r>
        <w:rPr>
          <w:rFonts w:ascii="Times New Roman" w:hAnsi="Times New Roman" w:cs="Times New Roman"/>
          <w:sz w:val="24"/>
          <w:szCs w:val="24"/>
        </w:rPr>
        <w:t xml:space="preserve">токолів інформаційного обміну можуть призводити до необхідності вдосконалення та масштабування Системи. Задля цієї мети під час проектування та розробки підсистеми та механізму повинна бути передбачена можливість їх подальшої модернізації та вдосконалення.</w:t>
      </w:r>
      <w:r/>
    </w:p>
    <w:p>
      <w:pPr>
        <w:contextualSpacing/>
        <w:ind w:left="34" w:right="113" w:firstLine="567"/>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5 738 694,00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п’ять</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сімсот тридцять вісім тисяч шістсот дев’яносто чотири</w:t>
      </w:r>
      <w:r>
        <w:rPr>
          <w:rFonts w:ascii="Times New Roman" w:hAnsi="Times New Roman" w:eastAsia="Times New Roman" w:cs="Times New Roman"/>
          <w:sz w:val="24"/>
          <w:szCs w:val="24"/>
          <w:lang w:eastAsia="ru-RU"/>
        </w:rPr>
        <w:t xml:space="preserve"> гривні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 коп.</w:t>
      </w:r>
      <w:r>
        <w:rPr>
          <w:rFonts w:ascii="Times New Roman" w:hAnsi="Times New Roman" w:eastAsia="Times New Roman" w:cs="Times New Roman"/>
          <w:sz w:val="24"/>
          <w:szCs w:val="24"/>
          <w:lang w:eastAsia="ru-RU"/>
        </w:rPr>
        <w:t xml:space="preserve">)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Pr>
          <w:rFonts w:ascii="Times New Roman" w:hAnsi="Times New Roman" w:eastAsia="Times New Roman" w:cs="Times New Roman"/>
          <w:sz w:val="24"/>
          <w:szCs w:val="24"/>
          <w:lang w:eastAsia="ru-RU"/>
        </w:rPr>
        <w:t xml:space="preserve">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contextualSpacing/>
        <w:ind w:left="34" w:right="113" w:firstLine="567"/>
        <w:jc w:val="both"/>
        <w:spacing w:line="240" w:lineRule="auto"/>
        <w:rPr>
          <w:rFonts w:ascii="Times New Roman" w:hAnsi="Times New Roman" w:eastAsia="SimSun" w:cs="Times New Roman"/>
          <w:sz w:val="24"/>
          <w:szCs w:val="24"/>
          <w:lang w:eastAsia="uk-UA"/>
        </w:rPr>
      </w:pPr>
      <w:r>
        <w:rPr>
          <w:rFonts w:ascii="Times New Roman" w:hAnsi="Times New Roman" w:eastAsia="SimSun" w:cs="Times New Roman"/>
          <w:sz w:val="24"/>
          <w:szCs w:val="24"/>
          <w:lang w:eastAsia="uk-UA"/>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p>
      <w:pPr>
        <w:rPr>
          <w:sz w:val="2"/>
          <w:szCs w:val="2"/>
        </w:rPr>
      </w:pPr>
      <w:r>
        <w:rPr>
          <w:sz w:val="2"/>
          <w:szCs w:val="2"/>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20603020101020101"/>
  </w:font>
  <w:font w:name="Noto Sans Symbols">
    <w:panose1 w:val="020B0502040504020204"/>
  </w:font>
  <w:font w:name="Wingdings">
    <w:panose1 w:val="05010000000000000000"/>
  </w:font>
  <w:font w:name="Courier New">
    <w:panose1 w:val="02070309020205020404"/>
  </w:font>
  <w:font w:name="Symbol">
    <w:panose1 w:val="05010000000000000000"/>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1429" w:hanging="360"/>
      </w:pPr>
      <w:rPr>
        <w:rFonts w:ascii="Noto Sans Symbols" w:hAnsi="Noto Sans Symbols" w:eastAsia="Noto Sans Symbols" w:cs="Noto Sans Symbols"/>
        <w:color w:val="000000"/>
        <w:sz w:val="28"/>
        <w:szCs w:val="28"/>
        <w:vertAlign w:val="baseline"/>
      </w:rPr>
    </w:lvl>
    <w:lvl w:ilvl="1">
      <w:start w:val="1"/>
      <w:numFmt w:val="bullet"/>
      <w:isLgl w:val="false"/>
      <w:suff w:val="tab"/>
      <w:lvlText w:val="○"/>
      <w:lvlJc w:val="left"/>
      <w:pPr>
        <w:ind w:left="2149" w:hanging="360"/>
      </w:pPr>
      <w:rPr>
        <w:rFonts w:ascii="Courier New" w:hAnsi="Courier New" w:eastAsia="Courier New" w:cs="Courier New"/>
        <w:sz w:val="24"/>
        <w:szCs w:val="24"/>
        <w:vertAlign w:val="baseline"/>
      </w:rPr>
    </w:lvl>
    <w:lvl w:ilvl="2">
      <w:start w:val="1"/>
      <w:numFmt w:val="bullet"/>
      <w:isLgl w:val="false"/>
      <w:suff w:val="tab"/>
      <w:lvlText w:val="▪"/>
      <w:lvlJc w:val="left"/>
      <w:pPr>
        <w:ind w:left="2869" w:hanging="360"/>
      </w:pPr>
      <w:rPr>
        <w:rFonts w:ascii="Noto Sans Symbols" w:hAnsi="Noto Sans Symbols" w:eastAsia="Noto Sans Symbols" w:cs="Noto Sans Symbols"/>
        <w:color w:val="000000"/>
        <w:sz w:val="24"/>
        <w:szCs w:val="24"/>
        <w:vertAlign w:val="baseline"/>
      </w:rPr>
    </w:lvl>
    <w:lvl w:ilvl="3">
      <w:start w:val="1"/>
      <w:numFmt w:val="bullet"/>
      <w:isLgl w:val="false"/>
      <w:suff w:val="tab"/>
      <w:lvlText w:val="●"/>
      <w:lvlJc w:val="left"/>
      <w:pPr>
        <w:ind w:left="3589" w:hanging="360"/>
      </w:pPr>
      <w:rPr>
        <w:rFonts w:ascii="Noto Sans Symbols" w:hAnsi="Noto Sans Symbols" w:eastAsia="Noto Sans Symbols" w:cs="Noto Sans Symbols"/>
        <w:color w:val="000000"/>
        <w:sz w:val="24"/>
        <w:szCs w:val="24"/>
        <w:vertAlign w:val="baseline"/>
      </w:rPr>
    </w:lvl>
    <w:lvl w:ilvl="4">
      <w:start w:val="1"/>
      <w:numFmt w:val="bullet"/>
      <w:isLgl w:val="false"/>
      <w:suff w:val="tab"/>
      <w:lvlText w:val="o"/>
      <w:lvlJc w:val="left"/>
      <w:pPr>
        <w:ind w:left="4309" w:hanging="360"/>
      </w:pPr>
      <w:rPr>
        <w:rFonts w:ascii="Courier New" w:hAnsi="Courier New" w:eastAsia="Courier New" w:cs="Courier New"/>
        <w:sz w:val="24"/>
        <w:szCs w:val="24"/>
        <w:vertAlign w:val="baseline"/>
      </w:rPr>
    </w:lvl>
    <w:lvl w:ilvl="5">
      <w:start w:val="1"/>
      <w:numFmt w:val="bullet"/>
      <w:isLgl w:val="false"/>
      <w:suff w:val="tab"/>
      <w:lvlText w:val="▪"/>
      <w:lvlJc w:val="left"/>
      <w:pPr>
        <w:ind w:left="5029" w:hanging="360"/>
      </w:pPr>
      <w:rPr>
        <w:rFonts w:ascii="Noto Sans Symbols" w:hAnsi="Noto Sans Symbols" w:eastAsia="Noto Sans Symbols" w:cs="Noto Sans Symbols"/>
        <w:color w:val="000000"/>
        <w:sz w:val="24"/>
        <w:szCs w:val="24"/>
        <w:vertAlign w:val="baseline"/>
      </w:rPr>
    </w:lvl>
    <w:lvl w:ilvl="6">
      <w:start w:val="1"/>
      <w:numFmt w:val="bullet"/>
      <w:isLgl w:val="false"/>
      <w:suff w:val="tab"/>
      <w:lvlText w:val="●"/>
      <w:lvlJc w:val="left"/>
      <w:pPr>
        <w:ind w:left="5749" w:hanging="360"/>
      </w:pPr>
      <w:rPr>
        <w:rFonts w:ascii="Noto Sans Symbols" w:hAnsi="Noto Sans Symbols" w:eastAsia="Noto Sans Symbols" w:cs="Noto Sans Symbols"/>
        <w:color w:val="000000"/>
        <w:sz w:val="24"/>
        <w:szCs w:val="24"/>
        <w:vertAlign w:val="baseline"/>
      </w:rPr>
    </w:lvl>
    <w:lvl w:ilvl="7">
      <w:start w:val="1"/>
      <w:numFmt w:val="bullet"/>
      <w:isLgl w:val="false"/>
      <w:suff w:val="tab"/>
      <w:lvlText w:val="o"/>
      <w:lvlJc w:val="left"/>
      <w:pPr>
        <w:ind w:left="6469" w:hanging="360"/>
      </w:pPr>
      <w:rPr>
        <w:rFonts w:ascii="Courier New" w:hAnsi="Courier New" w:eastAsia="Courier New" w:cs="Courier New"/>
        <w:sz w:val="24"/>
        <w:szCs w:val="24"/>
        <w:vertAlign w:val="baseline"/>
      </w:rPr>
    </w:lvl>
    <w:lvl w:ilvl="8">
      <w:start w:val="1"/>
      <w:numFmt w:val="bullet"/>
      <w:isLgl w:val="false"/>
      <w:suff w:val="tab"/>
      <w:lvlText w:val="▪"/>
      <w:lvlJc w:val="left"/>
      <w:pPr>
        <w:ind w:left="7189" w:hanging="360"/>
      </w:pPr>
      <w:rPr>
        <w:rFonts w:ascii="Noto Sans Symbols" w:hAnsi="Noto Sans Symbols" w:eastAsia="Noto Sans Symbols" w:cs="Noto Sans Symbols"/>
        <w:color w:val="000000"/>
        <w:sz w:val="24"/>
        <w:szCs w:val="24"/>
        <w:vertAlign w:val="baseline"/>
      </w:rPr>
    </w:lvl>
  </w:abstractNum>
  <w:abstractNum w:abstractNumId="4">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7">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5"/>
      <w:numFmt w:val="decimal"/>
      <w:isLgl w:val="false"/>
      <w:suff w:val="tab"/>
      <w:lvlText w:val="%1"/>
      <w:lvlJc w:val="left"/>
      <w:pPr>
        <w:ind w:left="360" w:hanging="360"/>
      </w:pPr>
    </w:lvl>
    <w:lvl w:ilvl="1">
      <w:start w:val="4"/>
      <w:numFmt w:val="decimal"/>
      <w:isLgl w:val="false"/>
      <w:suff w:val="tab"/>
      <w:lvlText w:val="%1.%2"/>
      <w:lvlJc w:val="left"/>
      <w:pPr>
        <w:ind w:left="3480" w:hanging="360"/>
      </w:pPr>
    </w:lvl>
    <w:lvl w:ilvl="2">
      <w:start w:val="1"/>
      <w:numFmt w:val="decimal"/>
      <w:isLgl w:val="false"/>
      <w:suff w:val="tab"/>
      <w:lvlText w:val="%1.%2.%3"/>
      <w:lvlJc w:val="left"/>
      <w:pPr>
        <w:ind w:left="1872" w:hanging="720"/>
      </w:pPr>
    </w:lvl>
    <w:lvl w:ilvl="3">
      <w:start w:val="1"/>
      <w:numFmt w:val="decimal"/>
      <w:isLgl w:val="false"/>
      <w:suff w:val="tab"/>
      <w:lvlText w:val="%1.%2.%3.%4"/>
      <w:lvlJc w:val="left"/>
      <w:pPr>
        <w:ind w:left="2808" w:hanging="1080"/>
      </w:pPr>
    </w:lvl>
    <w:lvl w:ilvl="4">
      <w:start w:val="1"/>
      <w:numFmt w:val="decimal"/>
      <w:isLgl w:val="false"/>
      <w:suff w:val="tab"/>
      <w:lvlText w:val="%1.%2.%3.%4.%5"/>
      <w:lvlJc w:val="left"/>
      <w:pPr>
        <w:ind w:left="3384" w:hanging="1080"/>
      </w:pPr>
    </w:lvl>
    <w:lvl w:ilvl="5">
      <w:start w:val="1"/>
      <w:numFmt w:val="decimal"/>
      <w:isLgl w:val="false"/>
      <w:suff w:val="tab"/>
      <w:lvlText w:val="%1.%2.%3.%4.%5.%6"/>
      <w:lvlJc w:val="left"/>
      <w:pPr>
        <w:ind w:left="4320" w:hanging="1440"/>
      </w:pPr>
    </w:lvl>
    <w:lvl w:ilvl="6">
      <w:start w:val="1"/>
      <w:numFmt w:val="decimal"/>
      <w:isLgl w:val="false"/>
      <w:suff w:val="tab"/>
      <w:lvlText w:val="%1.%2.%3.%4.%5.%6.%7"/>
      <w:lvlJc w:val="left"/>
      <w:pPr>
        <w:ind w:left="4896" w:hanging="1440"/>
      </w:pPr>
    </w:lvl>
    <w:lvl w:ilvl="7">
      <w:start w:val="1"/>
      <w:numFmt w:val="decimal"/>
      <w:isLgl w:val="false"/>
      <w:suff w:val="tab"/>
      <w:lvlText w:val="%1.%2.%3.%4.%5.%6.%7.%8"/>
      <w:lvlJc w:val="left"/>
      <w:pPr>
        <w:ind w:left="5832" w:hanging="1799"/>
      </w:pPr>
    </w:lvl>
    <w:lvl w:ilvl="8">
      <w:start w:val="1"/>
      <w:numFmt w:val="decimal"/>
      <w:isLgl w:val="false"/>
      <w:suff w:val="tab"/>
      <w:lvlText w:val="%1.%2.%3.%4.%5.%6.%7.%8.%9"/>
      <w:lvlJc w:val="left"/>
      <w:pPr>
        <w:ind w:left="6768" w:hanging="2160"/>
      </w:pPr>
    </w:lvl>
  </w:abstractNum>
  <w:abstractNum w:abstractNumId="1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7">
    <w:multiLevelType w:val="hybridMultilevel"/>
    <w:lvl w:ilvl="0">
      <w:start w:val="1"/>
      <w:numFmt w:val="decimal"/>
      <w:isLgl w:val="false"/>
      <w:suff w:val="tab"/>
      <w:lvlText w:val="%1"/>
      <w:lvlJc w:val="left"/>
      <w:pPr>
        <w:ind w:left="432" w:hanging="432"/>
      </w:pPr>
      <w:rPr>
        <w:b/>
      </w:rPr>
    </w:lvl>
    <w:lvl w:ilvl="1">
      <w:start w:val="1"/>
      <w:numFmt w:val="decimal"/>
      <w:isLgl w:val="false"/>
      <w:suff w:val="tab"/>
      <w:lvlText w:val="%1.%2"/>
      <w:lvlJc w:val="left"/>
      <w:pPr>
        <w:ind w:left="576" w:hanging="576"/>
      </w:pPr>
      <w:rPr>
        <w:b/>
        <w:sz w:val="28"/>
        <w:szCs w:val="28"/>
      </w:rPr>
    </w:lvl>
    <w:lvl w:ilvl="2">
      <w:start w:val="1"/>
      <w:numFmt w:val="decimal"/>
      <w:isLgl w:val="false"/>
      <w:suff w:val="tab"/>
      <w:lvlText w:val="%1.%2.%3"/>
      <w:lvlJc w:val="left"/>
      <w:pPr>
        <w:ind w:left="720" w:hanging="720"/>
      </w:pPr>
      <w:rPr>
        <w:b/>
        <w:sz w:val="28"/>
        <w:szCs w:val="28"/>
      </w:rPr>
    </w:lvl>
    <w:lvl w:ilvl="3">
      <w:start w:val="1"/>
      <w:numFmt w:val="decimal"/>
      <w:isLgl w:val="false"/>
      <w:suff w:val="tab"/>
      <w:lvlText w:val="%1.%2.%3.%4"/>
      <w:lvlJc w:val="left"/>
      <w:pPr>
        <w:ind w:left="864" w:hanging="864"/>
      </w:pPr>
      <w:rPr>
        <w:b/>
        <w:sz w:val="28"/>
        <w:szCs w:val="28"/>
      </w:r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8">
    <w:multiLevelType w:val="hybridMultilevel"/>
    <w:lvl w:ilvl="0">
      <w:start w:val="1"/>
      <w:numFmt w:val="bullet"/>
      <w:isLgl w:val="false"/>
      <w:suff w:val="tab"/>
      <w:lvlText w:val="●"/>
      <w:lvlJc w:val="left"/>
      <w:pPr>
        <w:ind w:left="1429" w:hanging="360"/>
      </w:pPr>
      <w:rPr>
        <w:rFonts w:ascii="Noto Sans Symbols" w:hAnsi="Noto Sans Symbols" w:eastAsia="Noto Sans Symbols" w:cs="Noto Sans Symbols"/>
      </w:rPr>
    </w:lvl>
    <w:lvl w:ilvl="1">
      <w:start w:val="1"/>
      <w:numFmt w:val="bullet"/>
      <w:isLgl w:val="false"/>
      <w:suff w:val="tab"/>
      <w:lvlText w:val="o"/>
      <w:lvlJc w:val="left"/>
      <w:pPr>
        <w:ind w:left="2149" w:hanging="360"/>
      </w:pPr>
      <w:rPr>
        <w:rFonts w:ascii="Courier New" w:hAnsi="Courier New" w:eastAsia="Courier New" w:cs="Courier New"/>
      </w:rPr>
    </w:lvl>
    <w:lvl w:ilvl="2">
      <w:start w:val="1"/>
      <w:numFmt w:val="bullet"/>
      <w:isLgl w:val="false"/>
      <w:suff w:val="tab"/>
      <w:lvlText w:val="▪"/>
      <w:lvlJc w:val="left"/>
      <w:pPr>
        <w:ind w:left="2869" w:hanging="360"/>
      </w:pPr>
      <w:rPr>
        <w:rFonts w:ascii="Noto Sans Symbols" w:hAnsi="Noto Sans Symbols" w:eastAsia="Noto Sans Symbols" w:cs="Noto Sans Symbols"/>
      </w:rPr>
    </w:lvl>
    <w:lvl w:ilvl="3">
      <w:start w:val="1"/>
      <w:numFmt w:val="bullet"/>
      <w:isLgl w:val="false"/>
      <w:suff w:val="tab"/>
      <w:lvlText w:val="●"/>
      <w:lvlJc w:val="left"/>
      <w:pPr>
        <w:ind w:left="3589" w:hanging="360"/>
      </w:pPr>
      <w:rPr>
        <w:rFonts w:ascii="Noto Sans Symbols" w:hAnsi="Noto Sans Symbols" w:eastAsia="Noto Sans Symbols" w:cs="Noto Sans Symbols"/>
      </w:rPr>
    </w:lvl>
    <w:lvl w:ilvl="4">
      <w:start w:val="1"/>
      <w:numFmt w:val="bullet"/>
      <w:isLgl w:val="false"/>
      <w:suff w:val="tab"/>
      <w:lvlText w:val="o"/>
      <w:lvlJc w:val="left"/>
      <w:pPr>
        <w:ind w:left="4309" w:hanging="360"/>
      </w:pPr>
      <w:rPr>
        <w:rFonts w:ascii="Courier New" w:hAnsi="Courier New" w:eastAsia="Courier New" w:cs="Courier New"/>
      </w:rPr>
    </w:lvl>
    <w:lvl w:ilvl="5">
      <w:start w:val="1"/>
      <w:numFmt w:val="bullet"/>
      <w:isLgl w:val="false"/>
      <w:suff w:val="tab"/>
      <w:lvlText w:val="▪"/>
      <w:lvlJc w:val="left"/>
      <w:pPr>
        <w:ind w:left="5029" w:hanging="360"/>
      </w:pPr>
      <w:rPr>
        <w:rFonts w:ascii="Noto Sans Symbols" w:hAnsi="Noto Sans Symbols" w:eastAsia="Noto Sans Symbols" w:cs="Noto Sans Symbols"/>
      </w:rPr>
    </w:lvl>
    <w:lvl w:ilvl="6">
      <w:start w:val="1"/>
      <w:numFmt w:val="bullet"/>
      <w:isLgl w:val="false"/>
      <w:suff w:val="tab"/>
      <w:lvlText w:val="●"/>
      <w:lvlJc w:val="left"/>
      <w:pPr>
        <w:ind w:left="5749" w:hanging="360"/>
      </w:pPr>
      <w:rPr>
        <w:rFonts w:ascii="Noto Sans Symbols" w:hAnsi="Noto Sans Symbols" w:eastAsia="Noto Sans Symbols" w:cs="Noto Sans Symbols"/>
      </w:rPr>
    </w:lvl>
    <w:lvl w:ilvl="7">
      <w:start w:val="1"/>
      <w:numFmt w:val="bullet"/>
      <w:isLgl w:val="false"/>
      <w:suff w:val="tab"/>
      <w:lvlText w:val="o"/>
      <w:lvlJc w:val="left"/>
      <w:pPr>
        <w:ind w:left="6469" w:hanging="360"/>
      </w:pPr>
      <w:rPr>
        <w:rFonts w:ascii="Courier New" w:hAnsi="Courier New" w:eastAsia="Courier New" w:cs="Courier New"/>
      </w:rPr>
    </w:lvl>
    <w:lvl w:ilvl="8">
      <w:start w:val="1"/>
      <w:numFmt w:val="bullet"/>
      <w:isLgl w:val="false"/>
      <w:suff w:val="tab"/>
      <w:lvlText w:val="▪"/>
      <w:lvlJc w:val="left"/>
      <w:pPr>
        <w:ind w:left="7189" w:hanging="360"/>
      </w:pPr>
      <w:rPr>
        <w:rFonts w:ascii="Noto Sans Symbols" w:hAnsi="Noto Sans Symbols" w:eastAsia="Noto Sans Symbols" w:cs="Noto Sans Symbols"/>
      </w:rPr>
    </w:lvl>
  </w:abstractNum>
  <w:num w:numId="1">
    <w:abstractNumId w:val="13"/>
  </w:num>
  <w:num w:numId="2">
    <w:abstractNumId w:val="10"/>
  </w:num>
  <w:num w:numId="3">
    <w:abstractNumId w:val="5"/>
  </w:num>
  <w:num w:numId="4">
    <w:abstractNumId w:val="11"/>
  </w:num>
  <w:num w:numId="5">
    <w:abstractNumId w:val="4"/>
  </w:num>
  <w:num w:numId="6">
    <w:abstractNumId w:val="14"/>
  </w:num>
  <w:num w:numId="7">
    <w:abstractNumId w:val="7"/>
  </w:num>
  <w:num w:numId="8">
    <w:abstractNumId w:val="1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18"/>
  </w:num>
  <w:num w:numId="18">
    <w:abstractNumId w:val="3"/>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87"/>
    <w:link w:val="685"/>
    <w:uiPriority w:val="9"/>
    <w:rPr>
      <w:rFonts w:ascii="Arial" w:hAnsi="Arial" w:eastAsia="Arial" w:cs="Arial"/>
      <w:sz w:val="40"/>
      <w:szCs w:val="40"/>
    </w:rPr>
  </w:style>
  <w:style w:type="character" w:styleId="16">
    <w:name w:val="Heading 2 Char"/>
    <w:basedOn w:val="687"/>
    <w:link w:val="686"/>
    <w:uiPriority w:val="9"/>
    <w:rPr>
      <w:rFonts w:ascii="Arial" w:hAnsi="Arial" w:eastAsia="Arial" w:cs="Arial"/>
      <w:sz w:val="34"/>
    </w:rPr>
  </w:style>
  <w:style w:type="paragraph" w:styleId="17">
    <w:name w:val="Heading 3"/>
    <w:basedOn w:val="684"/>
    <w:next w:val="68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87"/>
    <w:link w:val="17"/>
    <w:uiPriority w:val="9"/>
    <w:rPr>
      <w:rFonts w:ascii="Arial" w:hAnsi="Arial" w:eastAsia="Arial" w:cs="Arial"/>
      <w:sz w:val="30"/>
      <w:szCs w:val="30"/>
    </w:rPr>
  </w:style>
  <w:style w:type="paragraph" w:styleId="19">
    <w:name w:val="Heading 4"/>
    <w:basedOn w:val="684"/>
    <w:next w:val="68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7"/>
    <w:link w:val="19"/>
    <w:uiPriority w:val="9"/>
    <w:rPr>
      <w:rFonts w:ascii="Arial" w:hAnsi="Arial" w:eastAsia="Arial" w:cs="Arial"/>
      <w:b/>
      <w:bCs/>
      <w:sz w:val="26"/>
      <w:szCs w:val="26"/>
    </w:rPr>
  </w:style>
  <w:style w:type="paragraph" w:styleId="21">
    <w:name w:val="Heading 5"/>
    <w:basedOn w:val="684"/>
    <w:next w:val="68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7"/>
    <w:link w:val="21"/>
    <w:uiPriority w:val="9"/>
    <w:rPr>
      <w:rFonts w:ascii="Arial" w:hAnsi="Arial" w:eastAsia="Arial" w:cs="Arial"/>
      <w:b/>
      <w:bCs/>
      <w:sz w:val="24"/>
      <w:szCs w:val="24"/>
    </w:rPr>
  </w:style>
  <w:style w:type="paragraph" w:styleId="23">
    <w:name w:val="Heading 6"/>
    <w:basedOn w:val="684"/>
    <w:next w:val="68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7"/>
    <w:link w:val="23"/>
    <w:uiPriority w:val="9"/>
    <w:rPr>
      <w:rFonts w:ascii="Arial" w:hAnsi="Arial" w:eastAsia="Arial" w:cs="Arial"/>
      <w:b/>
      <w:bCs/>
      <w:sz w:val="22"/>
      <w:szCs w:val="22"/>
    </w:rPr>
  </w:style>
  <w:style w:type="paragraph" w:styleId="25">
    <w:name w:val="Heading 7"/>
    <w:basedOn w:val="684"/>
    <w:next w:val="68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7"/>
    <w:link w:val="25"/>
    <w:uiPriority w:val="9"/>
    <w:rPr>
      <w:rFonts w:ascii="Arial" w:hAnsi="Arial" w:eastAsia="Arial" w:cs="Arial"/>
      <w:b/>
      <w:bCs/>
      <w:i/>
      <w:iCs/>
      <w:sz w:val="22"/>
      <w:szCs w:val="22"/>
    </w:rPr>
  </w:style>
  <w:style w:type="paragraph" w:styleId="27">
    <w:name w:val="Heading 8"/>
    <w:basedOn w:val="684"/>
    <w:next w:val="68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7"/>
    <w:link w:val="27"/>
    <w:uiPriority w:val="9"/>
    <w:rPr>
      <w:rFonts w:ascii="Arial" w:hAnsi="Arial" w:eastAsia="Arial" w:cs="Arial"/>
      <w:i/>
      <w:iCs/>
      <w:sz w:val="22"/>
      <w:szCs w:val="22"/>
    </w:rPr>
  </w:style>
  <w:style w:type="paragraph" w:styleId="29">
    <w:name w:val="Heading 9"/>
    <w:basedOn w:val="684"/>
    <w:next w:val="68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7"/>
    <w:link w:val="29"/>
    <w:uiPriority w:val="9"/>
    <w:rPr>
      <w:rFonts w:ascii="Arial" w:hAnsi="Arial" w:eastAsia="Arial" w:cs="Arial"/>
      <w:i/>
      <w:iCs/>
      <w:sz w:val="21"/>
      <w:szCs w:val="21"/>
    </w:rPr>
  </w:style>
  <w:style w:type="paragraph" w:styleId="34">
    <w:name w:val="Title"/>
    <w:basedOn w:val="684"/>
    <w:next w:val="684"/>
    <w:link w:val="35"/>
    <w:uiPriority w:val="10"/>
    <w:qFormat/>
    <w:pPr>
      <w:contextualSpacing/>
      <w:spacing w:before="300" w:after="200"/>
    </w:pPr>
    <w:rPr>
      <w:sz w:val="48"/>
      <w:szCs w:val="48"/>
    </w:rPr>
  </w:style>
  <w:style w:type="character" w:styleId="35">
    <w:name w:val="Title Char"/>
    <w:basedOn w:val="687"/>
    <w:link w:val="34"/>
    <w:uiPriority w:val="10"/>
    <w:rPr>
      <w:sz w:val="48"/>
      <w:szCs w:val="48"/>
    </w:rPr>
  </w:style>
  <w:style w:type="paragraph" w:styleId="36">
    <w:name w:val="Subtitle"/>
    <w:basedOn w:val="684"/>
    <w:next w:val="684"/>
    <w:link w:val="37"/>
    <w:uiPriority w:val="11"/>
    <w:qFormat/>
    <w:pPr>
      <w:spacing w:before="200" w:after="200"/>
    </w:pPr>
    <w:rPr>
      <w:sz w:val="24"/>
      <w:szCs w:val="24"/>
    </w:rPr>
  </w:style>
  <w:style w:type="character" w:styleId="37">
    <w:name w:val="Subtitle Char"/>
    <w:basedOn w:val="687"/>
    <w:link w:val="36"/>
    <w:uiPriority w:val="11"/>
    <w:rPr>
      <w:sz w:val="24"/>
      <w:szCs w:val="24"/>
    </w:rPr>
  </w:style>
  <w:style w:type="paragraph" w:styleId="38">
    <w:name w:val="Quote"/>
    <w:basedOn w:val="684"/>
    <w:next w:val="684"/>
    <w:link w:val="39"/>
    <w:uiPriority w:val="29"/>
    <w:qFormat/>
    <w:pPr>
      <w:ind w:left="720" w:right="720"/>
    </w:pPr>
    <w:rPr>
      <w:i/>
    </w:rPr>
  </w:style>
  <w:style w:type="character" w:styleId="39">
    <w:name w:val="Quote Char"/>
    <w:link w:val="38"/>
    <w:uiPriority w:val="29"/>
    <w:rPr>
      <w:i/>
    </w:rPr>
  </w:style>
  <w:style w:type="paragraph" w:styleId="40">
    <w:name w:val="Intense Quote"/>
    <w:basedOn w:val="684"/>
    <w:next w:val="68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84"/>
    <w:link w:val="43"/>
    <w:uiPriority w:val="99"/>
    <w:unhideWhenUsed/>
    <w:pPr>
      <w:spacing w:after="0" w:line="240" w:lineRule="auto"/>
      <w:tabs>
        <w:tab w:val="center" w:pos="7143" w:leader="none"/>
        <w:tab w:val="right" w:pos="14287" w:leader="none"/>
      </w:tabs>
    </w:pPr>
  </w:style>
  <w:style w:type="character" w:styleId="43">
    <w:name w:val="Header Char"/>
    <w:basedOn w:val="687"/>
    <w:link w:val="42"/>
    <w:uiPriority w:val="99"/>
  </w:style>
  <w:style w:type="character" w:styleId="45">
    <w:name w:val="Footer Char"/>
    <w:basedOn w:val="687"/>
    <w:link w:val="696"/>
    <w:uiPriority w:val="99"/>
  </w:style>
  <w:style w:type="paragraph" w:styleId="46">
    <w:name w:val="Caption"/>
    <w:basedOn w:val="684"/>
    <w:next w:val="684"/>
    <w:uiPriority w:val="35"/>
    <w:semiHidden/>
    <w:unhideWhenUsed/>
    <w:qFormat/>
    <w:pPr>
      <w:spacing w:line="276" w:lineRule="auto"/>
    </w:pPr>
    <w:rPr>
      <w:b/>
      <w:bCs/>
      <w:color w:val="4f81bd" w:themeColor="accent1"/>
      <w:sz w:val="18"/>
      <w:szCs w:val="18"/>
    </w:rPr>
  </w:style>
  <w:style w:type="character" w:styleId="47">
    <w:name w:val="Caption Char"/>
    <w:basedOn w:val="46"/>
    <w:link w:val="696"/>
    <w:uiPriority w:val="99"/>
  </w:style>
  <w:style w:type="table" w:styleId="49">
    <w:name w:val="Table Grid Light"/>
    <w:basedOn w:val="6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8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7"/>
    <w:uiPriority w:val="99"/>
    <w:unhideWhenUsed/>
    <w:rPr>
      <w:vertAlign w:val="superscript"/>
    </w:rPr>
  </w:style>
  <w:style w:type="paragraph" w:styleId="178">
    <w:name w:val="endnote text"/>
    <w:basedOn w:val="68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7"/>
    <w:uiPriority w:val="99"/>
    <w:semiHidden/>
    <w:unhideWhenUsed/>
    <w:rPr>
      <w:vertAlign w:val="superscript"/>
    </w:rPr>
  </w:style>
  <w:style w:type="paragraph" w:styleId="181">
    <w:name w:val="toc 1"/>
    <w:basedOn w:val="684"/>
    <w:next w:val="684"/>
    <w:uiPriority w:val="39"/>
    <w:unhideWhenUsed/>
    <w:pPr>
      <w:ind w:left="0" w:right="0" w:firstLine="0"/>
      <w:spacing w:after="57"/>
    </w:pPr>
  </w:style>
  <w:style w:type="paragraph" w:styleId="182">
    <w:name w:val="toc 2"/>
    <w:basedOn w:val="684"/>
    <w:next w:val="684"/>
    <w:uiPriority w:val="39"/>
    <w:unhideWhenUsed/>
    <w:pPr>
      <w:ind w:left="283" w:right="0" w:firstLine="0"/>
      <w:spacing w:after="57"/>
    </w:pPr>
  </w:style>
  <w:style w:type="paragraph" w:styleId="183">
    <w:name w:val="toc 3"/>
    <w:basedOn w:val="684"/>
    <w:next w:val="684"/>
    <w:uiPriority w:val="39"/>
    <w:unhideWhenUsed/>
    <w:pPr>
      <w:ind w:left="567" w:right="0" w:firstLine="0"/>
      <w:spacing w:after="57"/>
    </w:pPr>
  </w:style>
  <w:style w:type="paragraph" w:styleId="184">
    <w:name w:val="toc 4"/>
    <w:basedOn w:val="684"/>
    <w:next w:val="684"/>
    <w:uiPriority w:val="39"/>
    <w:unhideWhenUsed/>
    <w:pPr>
      <w:ind w:left="850" w:right="0" w:firstLine="0"/>
      <w:spacing w:after="57"/>
    </w:pPr>
  </w:style>
  <w:style w:type="paragraph" w:styleId="185">
    <w:name w:val="toc 5"/>
    <w:basedOn w:val="684"/>
    <w:next w:val="684"/>
    <w:uiPriority w:val="39"/>
    <w:unhideWhenUsed/>
    <w:pPr>
      <w:ind w:left="1134" w:right="0" w:firstLine="0"/>
      <w:spacing w:after="57"/>
    </w:pPr>
  </w:style>
  <w:style w:type="paragraph" w:styleId="186">
    <w:name w:val="toc 6"/>
    <w:basedOn w:val="684"/>
    <w:next w:val="684"/>
    <w:uiPriority w:val="39"/>
    <w:unhideWhenUsed/>
    <w:pPr>
      <w:ind w:left="1417" w:right="0" w:firstLine="0"/>
      <w:spacing w:after="57"/>
    </w:pPr>
  </w:style>
  <w:style w:type="paragraph" w:styleId="187">
    <w:name w:val="toc 7"/>
    <w:basedOn w:val="684"/>
    <w:next w:val="684"/>
    <w:uiPriority w:val="39"/>
    <w:unhideWhenUsed/>
    <w:pPr>
      <w:ind w:left="1701" w:right="0" w:firstLine="0"/>
      <w:spacing w:after="57"/>
    </w:pPr>
  </w:style>
  <w:style w:type="paragraph" w:styleId="188">
    <w:name w:val="toc 8"/>
    <w:basedOn w:val="684"/>
    <w:next w:val="684"/>
    <w:uiPriority w:val="39"/>
    <w:unhideWhenUsed/>
    <w:pPr>
      <w:ind w:left="1984" w:right="0" w:firstLine="0"/>
      <w:spacing w:after="57"/>
    </w:pPr>
  </w:style>
  <w:style w:type="paragraph" w:styleId="189">
    <w:name w:val="toc 9"/>
    <w:basedOn w:val="684"/>
    <w:next w:val="684"/>
    <w:uiPriority w:val="39"/>
    <w:unhideWhenUsed/>
    <w:pPr>
      <w:ind w:left="2268" w:right="0" w:firstLine="0"/>
      <w:spacing w:after="57"/>
    </w:pPr>
  </w:style>
  <w:style w:type="paragraph" w:styleId="190">
    <w:name w:val="TOC Heading"/>
    <w:uiPriority w:val="39"/>
    <w:unhideWhenUsed/>
  </w:style>
  <w:style w:type="paragraph" w:styleId="191">
    <w:name w:val="table of figures"/>
    <w:basedOn w:val="684"/>
    <w:next w:val="684"/>
    <w:uiPriority w:val="99"/>
    <w:unhideWhenUsed/>
    <w:pPr>
      <w:spacing w:after="0" w:afterAutospacing="0"/>
    </w:pPr>
  </w:style>
  <w:style w:type="paragraph" w:styleId="684" w:default="1">
    <w:name w:val="Normal"/>
    <w:qFormat/>
    <w:rPr>
      <w:lang w:val="uk-UA"/>
    </w:rPr>
  </w:style>
  <w:style w:type="paragraph" w:styleId="685">
    <w:name w:val="Heading 1"/>
    <w:basedOn w:val="684"/>
    <w:next w:val="684"/>
    <w:link w:val="711"/>
    <w:uiPriority w:val="9"/>
    <w:qFormat/>
    <w:pPr>
      <w:keepLines/>
      <w:keepNext/>
      <w:spacing w:before="240" w:after="0" w:line="240" w:lineRule="auto"/>
      <w:widowControl w:val="off"/>
      <w:outlineLvl w:val="0"/>
    </w:pPr>
    <w:rPr>
      <w:rFonts w:asciiTheme="majorHAnsi" w:hAnsiTheme="majorHAnsi" w:eastAsiaTheme="majorEastAsia" w:cstheme="majorBidi"/>
      <w:color w:val="2e74b5" w:themeColor="accent1" w:themeShade="BF"/>
      <w:sz w:val="32"/>
      <w:szCs w:val="32"/>
      <w:lang w:val="ru-RU" w:eastAsia="ru-RU"/>
    </w:rPr>
  </w:style>
  <w:style w:type="paragraph" w:styleId="686">
    <w:name w:val="Heading 2"/>
    <w:basedOn w:val="684"/>
    <w:link w:val="70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7" w:default="1">
    <w:name w:val="Default Paragraph Font"/>
    <w:uiPriority w:val="1"/>
    <w:unhideWhenUsed/>
  </w:style>
  <w:style w:type="table" w:styleId="688" w:default="1">
    <w:name w:val="Normal Table"/>
    <w:uiPriority w:val="99"/>
    <w:semiHidden/>
    <w:unhideWhenUsed/>
    <w:tblPr>
      <w:tblInd w:w="0" w:type="dxa"/>
      <w:tblCellMar>
        <w:left w:w="108" w:type="dxa"/>
        <w:top w:w="0" w:type="dxa"/>
        <w:right w:w="108" w:type="dxa"/>
        <w:bottom w:w="0" w:type="dxa"/>
      </w:tblCellMar>
    </w:tblPr>
  </w:style>
  <w:style w:type="numbering" w:styleId="689" w:default="1">
    <w:name w:val="No List"/>
    <w:uiPriority w:val="99"/>
    <w:semiHidden/>
    <w:unhideWhenUsed/>
  </w:style>
  <w:style w:type="paragraph" w:styleId="690">
    <w:name w:val="List Paragraph"/>
    <w:basedOn w:val="684"/>
    <w:link w:val="691"/>
    <w:uiPriority w:val="34"/>
    <w:qFormat/>
    <w:pPr>
      <w:contextualSpacing/>
      <w:ind w:left="720"/>
      <w:spacing w:after="200" w:line="276" w:lineRule="auto"/>
    </w:pPr>
    <w:rPr>
      <w:rFonts w:ascii="Calibri" w:hAnsi="Calibri" w:eastAsia="Calibri" w:cs="Calibri"/>
      <w:lang w:val="ru-RU" w:eastAsia="zh-CN"/>
    </w:rPr>
  </w:style>
  <w:style w:type="character" w:styleId="691" w:customStyle="1">
    <w:name w:val="Абзац списку Знак"/>
    <w:link w:val="690"/>
    <w:uiPriority w:val="34"/>
    <w:rPr>
      <w:rFonts w:ascii="Calibri" w:hAnsi="Calibri" w:eastAsia="Calibri" w:cs="Calibri"/>
      <w:lang w:eastAsia="zh-CN"/>
    </w:rPr>
  </w:style>
  <w:style w:type="table" w:styleId="692">
    <w:name w:val="Table Grid"/>
    <w:basedOn w:val="68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3" w:customStyle="1">
    <w:name w:val="Сетка таблицы2"/>
    <w:basedOn w:val="688"/>
    <w:next w:val="69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4">
    <w:name w:val="Normal (Web)"/>
    <w:basedOn w:val="684"/>
    <w:link w:val="701"/>
    <w:unhideWhenUsed/>
    <w:qFormat/>
    <w:rPr>
      <w:rFonts w:ascii="Times New Roman" w:hAnsi="Times New Roman" w:cs="Times New Roman"/>
      <w:sz w:val="24"/>
      <w:szCs w:val="24"/>
    </w:rPr>
  </w:style>
  <w:style w:type="table" w:styleId="695" w:customStyle="1">
    <w:name w:val="Сетка таблицы1"/>
    <w:basedOn w:val="688"/>
    <w:next w:val="69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6">
    <w:name w:val="Footer"/>
    <w:basedOn w:val="684"/>
    <w:link w:val="69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7" w:customStyle="1">
    <w:name w:val="Нижній колонтитул Знак"/>
    <w:basedOn w:val="687"/>
    <w:link w:val="696"/>
    <w:uiPriority w:val="99"/>
    <w:rPr>
      <w:rFonts w:ascii="Calibri" w:hAnsi="Calibri" w:eastAsia="Calibri" w:cs="Calibri"/>
      <w:lang w:eastAsia="zh-CN"/>
    </w:rPr>
  </w:style>
  <w:style w:type="paragraph" w:styleId="69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9">
    <w:name w:val="Hyperlink"/>
    <w:basedOn w:val="687"/>
    <w:uiPriority w:val="99"/>
    <w:unhideWhenUsed/>
    <w:rPr>
      <w:color w:val="0563c1" w:themeColor="hyperlink"/>
      <w:u w:val="single"/>
    </w:rPr>
  </w:style>
  <w:style w:type="character" w:styleId="700" w:customStyle="1">
    <w:name w:val="xfm_93972720"/>
    <w:basedOn w:val="687"/>
  </w:style>
  <w:style w:type="character" w:styleId="701" w:customStyle="1">
    <w:name w:val="Звичайний (веб) Знак"/>
    <w:link w:val="694"/>
    <w:uiPriority w:val="99"/>
    <w:qFormat/>
    <w:rPr>
      <w:rFonts w:ascii="Times New Roman" w:hAnsi="Times New Roman" w:cs="Times New Roman"/>
      <w:sz w:val="24"/>
      <w:szCs w:val="24"/>
      <w:lang w:val="uk-UA"/>
    </w:rPr>
  </w:style>
  <w:style w:type="paragraph" w:styleId="702">
    <w:name w:val="Body Text 2"/>
    <w:basedOn w:val="684"/>
    <w:link w:val="703"/>
    <w:pPr>
      <w:spacing w:after="0" w:line="240" w:lineRule="auto"/>
    </w:pPr>
    <w:rPr>
      <w:rFonts w:ascii="Times New Roman" w:hAnsi="Times New Roman" w:eastAsia="Times New Roman" w:cs="Times New Roman"/>
      <w:sz w:val="28"/>
      <w:szCs w:val="20"/>
      <w:lang w:val="ru-RU" w:eastAsia="ru-RU"/>
    </w:rPr>
  </w:style>
  <w:style w:type="character" w:styleId="703" w:customStyle="1">
    <w:name w:val="Основний текст 2 Знак"/>
    <w:basedOn w:val="687"/>
    <w:link w:val="702"/>
    <w:rPr>
      <w:rFonts w:ascii="Times New Roman" w:hAnsi="Times New Roman" w:eastAsia="Times New Roman" w:cs="Times New Roman"/>
      <w:sz w:val="28"/>
      <w:szCs w:val="20"/>
      <w:lang w:eastAsia="ru-RU"/>
    </w:rPr>
  </w:style>
  <w:style w:type="paragraph" w:styleId="70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5" w:customStyle="1">
    <w:name w:val="Заголовок 2 Знак"/>
    <w:basedOn w:val="687"/>
    <w:link w:val="686"/>
    <w:uiPriority w:val="9"/>
    <w:rPr>
      <w:rFonts w:ascii="Times New Roman" w:hAnsi="Times New Roman" w:eastAsia="Times New Roman" w:cs="Times New Roman"/>
      <w:b/>
      <w:bCs/>
      <w:sz w:val="36"/>
      <w:szCs w:val="36"/>
      <w:lang w:val="uk-UA" w:eastAsia="uk-UA"/>
    </w:rPr>
  </w:style>
  <w:style w:type="paragraph" w:styleId="706">
    <w:name w:val="No Spacing"/>
    <w:link w:val="707"/>
    <w:uiPriority w:val="1"/>
    <w:qFormat/>
    <w:pPr>
      <w:spacing w:after="0" w:line="240" w:lineRule="auto"/>
    </w:pPr>
    <w:rPr>
      <w:rFonts w:ascii="Calibri" w:hAnsi="Calibri" w:eastAsia="Calibri" w:cs="Times New Roman"/>
      <w:lang w:val="uk-UA"/>
    </w:rPr>
  </w:style>
  <w:style w:type="character" w:styleId="707" w:customStyle="1">
    <w:name w:val="Без інтервалів Знак"/>
    <w:basedOn w:val="687"/>
    <w:link w:val="706"/>
    <w:uiPriority w:val="1"/>
    <w:rPr>
      <w:rFonts w:ascii="Calibri" w:hAnsi="Calibri" w:eastAsia="Calibri" w:cs="Times New Roman"/>
      <w:lang w:val="uk-UA"/>
    </w:rPr>
  </w:style>
  <w:style w:type="character" w:styleId="708" w:customStyle="1">
    <w:name w:val="Другое_"/>
    <w:basedOn w:val="687"/>
    <w:link w:val="709"/>
    <w:rPr>
      <w:rFonts w:ascii="Calibri" w:hAnsi="Calibri" w:eastAsia="Calibri" w:cs="Calibri"/>
      <w:sz w:val="20"/>
      <w:szCs w:val="20"/>
    </w:rPr>
  </w:style>
  <w:style w:type="paragraph" w:styleId="709" w:customStyle="1">
    <w:name w:val="Другое"/>
    <w:basedOn w:val="684"/>
    <w:link w:val="708"/>
    <w:pPr>
      <w:spacing w:after="0" w:line="240" w:lineRule="auto"/>
      <w:widowControl w:val="off"/>
    </w:pPr>
    <w:rPr>
      <w:rFonts w:ascii="Calibri" w:hAnsi="Calibri" w:eastAsia="Calibri" w:cs="Calibri"/>
      <w:sz w:val="20"/>
      <w:szCs w:val="20"/>
      <w:lang w:val="ru-RU"/>
    </w:rPr>
  </w:style>
  <w:style w:type="character" w:styleId="710" w:customStyle="1">
    <w:name w:val="xfmc1"/>
    <w:basedOn w:val="687"/>
  </w:style>
  <w:style w:type="character" w:styleId="711" w:customStyle="1">
    <w:name w:val="Заголовок 1 Знак"/>
    <w:basedOn w:val="687"/>
    <w:link w:val="685"/>
    <w:uiPriority w:val="9"/>
    <w:rPr>
      <w:rFonts w:asciiTheme="majorHAnsi" w:hAnsiTheme="majorHAnsi" w:eastAsiaTheme="majorEastAsia" w:cstheme="majorBidi"/>
      <w:color w:val="2e74b5" w:themeColor="accent1" w:themeShade="BF"/>
      <w:sz w:val="32"/>
      <w:szCs w:val="32"/>
      <w:lang w:eastAsia="ru-RU"/>
    </w:rPr>
  </w:style>
  <w:style w:type="character" w:styleId="712" w:customStyle="1">
    <w:name w:val="ТЗ Звичайний Знак"/>
    <w:qFormat/>
    <w:rPr>
      <w:rFonts w:ascii="Times New Roman" w:hAnsi="Times New Roman" w:eastAsia="Calibri" w:cs="Times New Roman"/>
      <w:szCs w:val="22"/>
      <w:lang w:val="uk-UA" w:eastAsia="en-US" w:bidi="ar-SA"/>
    </w:rPr>
  </w:style>
  <w:style w:type="paragraph" w:styleId="713" w:customStyle="1">
    <w:name w:val="ТЗ Звичайний"/>
    <w:basedOn w:val="684"/>
    <w:qFormat/>
    <w:pPr>
      <w:ind w:firstLine="851"/>
      <w:jc w:val="both"/>
      <w:spacing w:after="0" w:line="360" w:lineRule="auto"/>
    </w:pPr>
    <w:rPr>
      <w:rFonts w:ascii="Times New Roman" w:hAnsi="Times New Roman" w:eastAsia="Calibri" w:cs="Times New Roman"/>
      <w:color w:val="00000a"/>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109</cp:revision>
  <dcterms:created xsi:type="dcterms:W3CDTF">2022-11-01T12:47:00Z</dcterms:created>
  <dcterms:modified xsi:type="dcterms:W3CDTF">2023-06-13T06:32:43Z</dcterms:modified>
</cp:coreProperties>
</file>