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bookmarkStart w:id="0" w:name="_Hlk113270909"/>
      <w:r/>
      <w:bookmarkStart w:id="1" w:name="_Hlk113271218"/>
      <w:r/>
      <w:bookmarkStart w:id="2" w:name="_Hlk138257985"/>
      <w:r>
        <w:rPr>
          <w:b w:val="0"/>
          <w:bCs w:val="0"/>
          <w:sz w:val="24"/>
          <w:szCs w:val="24"/>
        </w:rPr>
        <w:t xml:space="preserve">Послуги з </w:t>
      </w:r>
      <w:bookmarkStart w:id="3" w:name="_Hlk113270944"/>
      <w:r>
        <w:rPr>
          <w:b w:val="0"/>
          <w:bCs w:val="0"/>
          <w:sz w:val="24"/>
          <w:szCs w:val="24"/>
        </w:rPr>
        <w:t xml:space="preserve">доопрацювання комп’ютерного </w:t>
      </w:r>
      <w:bookmarkEnd w:id="0"/>
      <w:r/>
      <w:bookmarkEnd w:id="1"/>
      <w:r/>
      <w:bookmarkEnd w:id="3"/>
      <w:r>
        <w:rPr>
          <w:b w:val="0"/>
          <w:bCs w:val="0"/>
          <w:sz w:val="24"/>
          <w:szCs w:val="24"/>
        </w:rPr>
        <w:t xml:space="preserve">програмного забезпечення системи екстреної допомоги населенню за єдиним телефонним номером 112, за кодом CPV за ЄЗС ДК 021:2015 –</w:t>
      </w:r>
      <w:r>
        <w:rPr>
          <w:b w:val="0"/>
          <w:bCs w:val="0"/>
          <w:sz w:val="24"/>
          <w:szCs w:val="24"/>
          <w:lang w:eastAsia="ar-SA"/>
        </w:rPr>
        <w:t xml:space="preserve"> </w:t>
      </w:r>
      <w:r>
        <w:rPr>
          <w:b w:val="0"/>
          <w:bCs w:val="0"/>
          <w:sz w:val="24"/>
          <w:szCs w:val="24"/>
        </w:rPr>
        <w:t xml:space="preserve">72260000-5 </w:t>
      </w:r>
      <w:r>
        <w:rPr>
          <w:b w:val="0"/>
          <w:bCs w:val="0"/>
          <w:i/>
          <w:sz w:val="24"/>
          <w:szCs w:val="24"/>
        </w:rPr>
        <w:t xml:space="preserve">«</w:t>
      </w:r>
      <w:r>
        <w:rPr>
          <w:b w:val="0"/>
          <w:bCs w:val="0"/>
          <w:sz w:val="24"/>
          <w:szCs w:val="24"/>
        </w:rPr>
        <w:t xml:space="preserve">Послуги, пов’язані з програмним забезпеченням»</w:t>
      </w:r>
      <w:bookmarkEnd w:id="2"/>
      <w:r/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005453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Послуги з доопрацювання комп’ютерного програмного забезпечення системи екстреної допомоги населенню за єдиним телефонним номером 112, за кодом CPV за ЄЗС ДК 021:2015 –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72260000-5 </w:t>
      </w:r>
      <w:r>
        <w:rPr>
          <w:rFonts w:ascii="Times New Roman" w:hAnsi="Times New Roman" w:cs="Times New Roman"/>
          <w:i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Послуги, пов’язані з програмним забезпеченням»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Послуги з доопрацювання комп’ютерного програмного забезпечення системи екстреної допомоги населенню за єдиним телефонним номером 112, за кодом CPV за ЄЗС ДК 021:2015 –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72260000-5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Послуги, пов’язані з програмним забезпеченням»</w:t>
      </w:r>
      <w:r/>
    </w:p>
    <w:p>
      <w:pPr>
        <w:ind w:left="567"/>
        <w:jc w:val="center"/>
        <w:spacing w:after="0" w:line="240" w:lineRule="auto"/>
        <w:tabs>
          <w:tab w:val="left" w:pos="993" w:leader="none"/>
          <w:tab w:val="left" w:pos="1418" w:leader="none"/>
        </w:tabs>
        <w:rPr>
          <w:rFonts w:ascii="Times New Roman" w:hAnsi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ТЕХНІЧН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ЗАВДАННЯ </w:t>
      </w:r>
      <w:r/>
    </w:p>
    <w:p>
      <w:pPr>
        <w:ind w:left="567"/>
        <w:jc w:val="center"/>
        <w:spacing w:after="0" w:line="240" w:lineRule="auto"/>
        <w:tabs>
          <w:tab w:val="left" w:pos="993" w:leader="none"/>
          <w:tab w:val="left" w:pos="1418" w:leader="none"/>
        </w:tabs>
        <w:rPr>
          <w:rFonts w:ascii="Times New Roman" w:hAnsi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 доопрацювання програмного забезпечення системи екстреної допомоги населенню за єдиним телефонним номером 112</w:t>
      </w:r>
      <w:r/>
    </w:p>
    <w:p>
      <w:pPr>
        <w:ind w:firstLine="850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 технічне завдання містить список функціональних вимог доопрацювання комп’ютерної програми.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tbl>
      <w:tblPr>
        <w:tblStyle w:val="712"/>
        <w:tblW w:w="9776" w:type="dxa"/>
        <w:tblLayout w:type="fixed"/>
        <w:tblLook w:val="01E0" w:firstRow="1" w:lastRow="1" w:firstColumn="1" w:lastColumn="1" w:noHBand="0" w:noVBand="0"/>
      </w:tblPr>
      <w:tblGrid>
        <w:gridCol w:w="562"/>
        <w:gridCol w:w="6946"/>
        <w:gridCol w:w="1134"/>
        <w:gridCol w:w="1134"/>
      </w:tblGrid>
      <w:tr>
        <w:trPr>
          <w:trHeight w:val="334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з/п</w:t>
            </w:r>
            <w:r/>
          </w:p>
        </w:tc>
        <w:tc>
          <w:tcPr>
            <w:tcW w:w="69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Од. виміру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К-ть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одиниць </w:t>
            </w:r>
            <w:r/>
          </w:p>
        </w:tc>
      </w:tr>
      <w:tr>
        <w:trPr>
          <w:trHeight w:val="501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tcW w:w="6946" w:type="dxa"/>
            <w:vAlign w:val="center"/>
            <w:textDirection w:val="lrTb"/>
            <w:noWrap w:val="false"/>
          </w:tcPr>
          <w:p>
            <w:pPr>
              <w:pStyle w:val="741"/>
              <w:ind w:right="57"/>
              <w:jc w:val="center"/>
              <w:tabs>
                <w:tab w:val="left" w:pos="2704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Послуги Етап №1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691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tcW w:w="6946" w:type="dxa"/>
            <w:vAlign w:val="center"/>
            <w:textDirection w:val="lrTb"/>
            <w:noWrap w:val="false"/>
          </w:tcPr>
          <w:p>
            <w:pPr>
              <w:pStyle w:val="741"/>
              <w:ind w:right="57"/>
              <w:jc w:val="center"/>
              <w:tabs>
                <w:tab w:val="left" w:pos="2704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Послуги Етап №2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686"/>
        </w:trPr>
        <w:tc>
          <w:tcPr>
            <w:tcBorders>
              <w:bottom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</w:t>
            </w:r>
            <w:r/>
          </w:p>
        </w:tc>
        <w:tc>
          <w:tcPr>
            <w:tcBorders>
              <w:bottom w:val="single" w:color="auto" w:sz="4" w:space="0"/>
            </w:tcBorders>
            <w:tcW w:w="6946" w:type="dxa"/>
            <w:vAlign w:val="center"/>
            <w:textDirection w:val="lrTb"/>
            <w:noWrap w:val="false"/>
          </w:tcPr>
          <w:p>
            <w:pPr>
              <w:pStyle w:val="741"/>
              <w:ind w:right="57"/>
              <w:jc w:val="center"/>
              <w:tabs>
                <w:tab w:val="left" w:pos="2704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Послуги Етап №3</w:t>
            </w:r>
            <w:r/>
          </w:p>
        </w:tc>
        <w:tc>
          <w:tcPr>
            <w:tcBorders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p>
      <w:pPr>
        <w:ind w:right="79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СКЛАД (ЗМІСТ) ВИМОГ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tbl>
      <w:tblPr>
        <w:tblStyle w:val="712"/>
        <w:tblW w:w="9808" w:type="dxa"/>
        <w:tblInd w:w="-5" w:type="dxa"/>
        <w:tblLook w:val="04A0" w:firstRow="1" w:lastRow="0" w:firstColumn="1" w:lastColumn="0" w:noHBand="0" w:noVBand="1"/>
      </w:tblPr>
      <w:tblGrid>
        <w:gridCol w:w="1870"/>
        <w:gridCol w:w="2459"/>
        <w:gridCol w:w="5479"/>
      </w:tblGrid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/>
            <w:bookmarkStart w:id="4" w:name="_Hlk148618989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Напрямок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Детальний опис робіт</w:t>
            </w:r>
            <w:bookmarkEnd w:id="4"/>
            <w:r/>
          </w:p>
        </w:tc>
      </w:tr>
      <w:tr>
        <w:trPr>
          <w:trHeight w:val="546"/>
        </w:trPr>
        <w:tc>
          <w:tcPr>
            <w:gridSpan w:val="3"/>
            <w:shd w:val="clear" w:color="auto" w:fill="ffffff" w:themeFill="background1"/>
            <w:tcW w:w="9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Список послуг по етапу 1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Інтеграція з 104 районами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Додавання районів. Адмін панель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адмін панелі додати розділ, де адміністратор може створювати по областях райони,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вказуючи номер для переадресації дзвінку на цей район та відповідального за цей район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ПІБ.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Інтеграція з 104 районами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Переадресація дзвінку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виборі переадресації дзвінку на служби 104, окрім області оператор має ще вибрати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із запропонованого списку. (Попередньо уточнивши в абонента).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Інтеграція з 104 районами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Правки системи 104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Виводити поле Район в картці події.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Дати можливість закріпити район за оператором.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Аналітика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Дашборд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головній сторінці дати можливість операторам формувати звіти за такими даними: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Дата та період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Можливість вибрати час та період часу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Локація (область, район 104).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Інформація по дзвінку (список)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Подія (категорія події)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Номер телефону абонента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Інформація/Опис про подію, адреса і т.д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ПІБ оператора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Інформація по вихідному дзвінку (список)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В яку службі направлений дзвінок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Без реагування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Жестова мова (Людина з Вадами)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Англ. мова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Аналітика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Експорт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Можливість експортувати звіт в Exel файл.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Причини закриття картки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Причини закриття картки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Якщо абонент кинув трубку й карта не була перенаправлена, додати поле Закрити картку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обов’язковим вибором причини.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Помилився/Випадково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Скидають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Відповіді немає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 не зоні доступу/відповідач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Зайнято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Шум/Тиша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Виклик перенаправлено на Службу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Відповіді немає</w:t>
            </w:r>
            <w:r/>
          </w:p>
        </w:tc>
      </w:tr>
      <w:tr>
        <w:trPr>
          <w:trHeight w:val="311"/>
        </w:trPr>
        <w:tc>
          <w:tcPr>
            <w:gridSpan w:val="3"/>
            <w:shd w:val="clear" w:color="auto" w:fill="ffffff" w:themeFill="background1"/>
            <w:tcW w:w="9808" w:type="dxa"/>
            <w:textDirection w:val="lrTb"/>
            <w:noWrap w:val="false"/>
          </w:tcPr>
          <w:p>
            <w:pPr>
              <w:jc w:val="center"/>
              <w:tabs>
                <w:tab w:val="left" w:pos="4155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Список послуг по етапу 2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Довідники адрес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СМУ 112 повинна забезпечити зберігання та використання поточних назв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областей, громад, міст, сіл, вулиць номерів домів а також попередніх назв та номерів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голубиною в 5 змін.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Довідники адрес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реєстрації під час вводу адреси пропонувати оператору 112 попередні назви та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номери з відповідною приміткою.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Довідники адрес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СМУ 112 повинна забезпечити конвертування старих назв та номерів в поточні.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Довідники адрес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СМУ 112 повинна забезпечити зберігання в журналі подій як первинних даних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введених оператором 112 адрес та номерів так і конвертованих в відповідності до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поточних.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Довідники адрес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СМУ 112 повинна забезпечити конвертацію адрес в геопозицію.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Довідники адрес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СМУ 112 повинна забезпечити конвертацію геопозицію в адреси.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адреси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Картка на створення інциденту повинна бути надана з перевіркою адреси.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Валідація адреси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разі прийняття операцій адресу, виділену операції, необхідно перевірити через адресну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базу даних.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Фонетична перевірка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 час перевірки адреси можлива фонетична перевірка запису із збереженими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адресними даними.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Пропозиція найблищої адреси в пошуку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Якщо адреса не може бути перевірена, оскільки ця адреса не існує в даних збережених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адрес, повинен бути запропонований з відповідним зауваженням, наступний більший або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наступний менший номер будинку або квартири, доступний в системі (відповідно для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парних або непарних номерів будинків).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Рівень тривоги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інцидент необхідно виділити рівень тривоги (не менше 1 до 5 або текстовий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еквівалент «код тривоги»), щоб повідомити координатора про терміновість інциденту.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Зв’язок рівня тривоги з категорією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події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Можливий автоматичний зв'язок між кодом інциденту та виділеним рівнем тривоги. До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кожної категорії та підкатегорії події в адмінці потрібно додати поле на значення тривоги.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Зберігати робоче місце оператора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Також необхідно визначити робоче місце оператора, що створює інцидент з ідентифікації.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на запис дзвінку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на запис голосу приймаються в оперативний журнал автоматично.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Реєструвати псевдоніми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Має бути можливість адмініструвати «псевдоніми» (локально відомі назви для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конкретного місця розташування) для цікавих точок (POI), характерних точок, міських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частин, будівель, розв'язок доріг, ділянок шляхів та назв осіб, назв земель тощо. -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Уточнити момент інтеграції з службами.</w:t>
            </w:r>
            <w:r/>
          </w:p>
        </w:tc>
      </w:tr>
      <w:tr>
        <w:trPr>
          <w:trHeight w:val="557"/>
        </w:trPr>
        <w:tc>
          <w:tcPr>
            <w:gridSpan w:val="3"/>
            <w:shd w:val="clear" w:color="auto" w:fill="ffffff" w:themeFill="background1"/>
            <w:tcW w:w="9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shd w:val="clear" w:color="auto" w:fill="ffe599" w:themeFill="accent4" w:themeFillTint="66"/>
              </w:rPr>
              <w:t xml:space="preserve">Список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послуг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shd w:val="clear" w:color="auto" w:fill="ffe599" w:themeFill="accent4" w:themeFillTint="66"/>
              </w:rPr>
              <w:t xml:space="preserve">по етапу 3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 admin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Довжина логіна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повинна містити функцію, яка дозволяє адміністратору встановити мінімальну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довжину для логіна користувача.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 admin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Довжина пароля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Має бути можливість змінити значення довжини пароля.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 admin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Складність логіна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повинна містити функцію, яка дозволяє адміністратору встановлювати та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змінювати складність логіна користувача.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 admin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Валідація старих паролів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повинна містити функцію, яка забороняє використання вже існуючих паролів.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 admin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заборонених паролів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заборонених паролів має визначатися вільно регульованим параметром.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Повинна бути функція для зміни значення параметра.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 admin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Дозволені помилкові спроби на логін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повинна надати функцію, яка дозволяє адміністратору встановлювати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максимальні потенційні спроби користувача підключитися.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Якщо перевищення імені користувача буде заблоковано.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з'єднань має визначатися параметром.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Має бути можливість змінити значення параметра.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 admin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Блокування вгадування паролю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 забезпечення не повинно бути дозволено надавати допомогу посилатися на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 забезпечення користувача вгадування паролів.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безпеки.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 admin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Сповіщення на електрону пошту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користувачів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повинна містити функцію, яка дозволяє створювати та надсилати автоматичне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 адміністратору про користувачів, які не використовували програмне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протягом певного часу, встановленого адміністратором.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процедур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процесів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Прикріпити файл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інцидентами має дозволити прикріпити відповідні документи до місця події (* 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pdf, * .xlsx, * .docx, * .odf, * .odt, * .ods, * .html файли, внутрішні та/або зовнішні URL-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адреси)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інцидентами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Архівування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Тимчасові записи журналу або файли (для черги або кешування) повинні бути видалені з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жорсткого диска після настроюваного періоду часу і завершеного архівування.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інцидентами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Експорт історії подій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Експорт Історії подій в табличний формат з можливістю обрати формат.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Експорт даних журналу також повинна бути надана за запитом, або в інкрементній формі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(пов'язана з усіма новими наборами даних з моменту останньої роздруківки), або всі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набори даних протягом певного періоду часу, який користувач може вибрати.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Експорт журналу або результатів пошуку у форматі даних, який можна прочитати для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офісної програми для поглинання та подальшої обробки.</w:t>
            </w:r>
            <w:r/>
          </w:p>
        </w:tc>
      </w:tr>
      <w:tr>
        <w:trPr/>
        <w:tc>
          <w:tcPr>
            <w:shd w:val="clear" w:color="auto" w:fill="ffffff" w:themeFill="background1"/>
            <w:tcW w:w="18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інцидентами</w:t>
            </w:r>
            <w:r/>
          </w:p>
        </w:tc>
        <w:tc>
          <w:tcPr>
            <w:shd w:val="clear" w:color="auto" w:fill="ffffff" w:themeFill="background1"/>
            <w:tcW w:w="24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Завантажити запис розмови</w:t>
            </w:r>
            <w:r/>
          </w:p>
        </w:tc>
        <w:tc>
          <w:tcPr>
            <w:shd w:val="clear" w:color="auto" w:fill="ffffff" w:themeFill="background1"/>
            <w:tcW w:w="54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Записи голосової документації, виділені на операцію, повинні бути в змозі отримати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додаток управління інцидентами.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Учасник якого визначено переможцем процедури закупівлі, пе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ред укладанням договору проводить експертизу та/або експертну оцінку та/або незалежну оцінку вартості послуг, за результатом аукціону, вказаних в Додатку 5 до тендерної документації та надає Замовнику документ що підтверджує вартість вказаних послуг. У раз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і надання документу де вартість послуг буде нижча ніж зазначив Учасник за результатом аукціону, Учасник-Переможець укладає разом із договором додаткову угоду на зменшення вартості за одиницю послуг (надати у складі тендерної документації гарантійний лист).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2 177 690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 мільйони сто сімдесят сім тисяч шістсот дев’яносто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41" w:customStyle="1">
    <w:name w:val="Table Paragraph"/>
    <w:basedOn w:val="705"/>
    <w:uiPriority w:val="1"/>
    <w:qFormat/>
    <w:pPr>
      <w:spacing w:after="0" w:line="240" w:lineRule="auto"/>
      <w:widowControl w:val="off"/>
    </w:pPr>
    <w:rPr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149</cp:revision>
  <dcterms:created xsi:type="dcterms:W3CDTF">2022-11-01T12:47:00Z</dcterms:created>
  <dcterms:modified xsi:type="dcterms:W3CDTF">2023-11-22T16:35:38Z</dcterms:modified>
</cp:coreProperties>
</file>