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79"/>
        <w:ind w:left="0"/>
        <w:rPr>
          <w:rFonts w:ascii="Times New Roman" w:hAnsi="Times New Roman"/>
          <w:bCs/>
          <w:color w:val="000000" w:themeColor="text1"/>
          <w:sz w:val="24"/>
          <w:szCs w:val="24"/>
          <w:shd w:val="clear" w:color="auto" w:fill="ffffff"/>
        </w:rPr>
      </w:pPr>
      <w:r>
        <w:rPr>
          <w:rFonts w:ascii="Times New Roman" w:hAnsi="Times New Roman"/>
          <w:b/>
          <w:sz w:val="24"/>
          <w:szCs w:val="24"/>
        </w:rPr>
        <w:t xml:space="preserve">2. Назва предм</w:t>
      </w:r>
      <w:r>
        <w:rPr>
          <w:rFonts w:ascii="Times New Roman" w:hAnsi="Times New Roman"/>
          <w:b/>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31760739"/>
      <w:r>
        <w:rPr>
          <w:rFonts w:ascii="Times New Roman" w:hAnsi="Times New Roman"/>
          <w:color w:val="000000"/>
          <w:sz w:val="24"/>
          <w:szCs w:val="24"/>
        </w:rPr>
        <w:t xml:space="preserve">Ліфт та супутнє обладнання зі встановленням за кодом CPV за ЄЗС ДК 021:2015: 42410000-3 </w:t>
      </w:r>
      <w:bookmarkEnd w:id="0"/>
      <w:r>
        <w:rPr>
          <w:rFonts w:ascii="Times New Roman" w:hAnsi="Times New Roman"/>
          <w:sz w:val="24"/>
          <w:szCs w:val="24"/>
        </w:rPr>
        <w:t xml:space="preserve">Підіймально</w:t>
      </w:r>
      <w:r>
        <w:rPr>
          <w:rFonts w:ascii="Times New Roman" w:hAnsi="Times New Roman"/>
          <w:sz w:val="24"/>
          <w:szCs w:val="24"/>
        </w:rPr>
        <w:t xml:space="preserve">-транспортувальне обладнання</w:t>
      </w:r>
      <w:r>
        <w:rPr>
          <w:rFonts w:ascii="Times New Roman" w:hAnsi="Times New Roman"/>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010507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lang w:eastAsia="ru-RU"/>
        </w:rPr>
        <w:t xml:space="preserve">4. Обґрунтування технічних та якісних характеристик предмета закупівлі:  </w:t>
      </w:r>
      <w:r>
        <w:rPr>
          <w:rFonts w:ascii="Times New Roman" w:hAnsi="Times New Roman"/>
          <w:color w:val="000000"/>
          <w:sz w:val="24"/>
          <w:szCs w:val="24"/>
        </w:rPr>
        <w:t xml:space="preserve">Ліфт та супутнє обладнання зі встановленням</w:t>
      </w:r>
      <w:r/>
    </w:p>
    <w:p>
      <w:pPr>
        <w:ind w:right="-1"/>
        <w:jc w:val="both"/>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jc w:val="center"/>
        <w:rPr>
          <w:rFonts w:ascii="Times New Roman" w:hAnsi="Times New Roman" w:cs="Times New Roman"/>
          <w:b/>
          <w:i/>
          <w:iCs/>
          <w:sz w:val="28"/>
          <w:szCs w:val="28"/>
        </w:rPr>
      </w:pPr>
      <w:r>
        <w:rPr>
          <w:rFonts w:ascii="Times New Roman" w:hAnsi="Times New Roman" w:cs="Times New Roman"/>
          <w:b/>
          <w:i/>
          <w:iCs/>
          <w:sz w:val="28"/>
          <w:szCs w:val="28"/>
        </w:rPr>
        <w:t xml:space="preserve">Технічні та якісні характеристики предмета закупівлі:</w:t>
      </w:r>
      <w:r/>
    </w:p>
    <w:tbl>
      <w:tblPr>
        <w:tblStyle w:val="673"/>
        <w:tblW w:w="0" w:type="auto"/>
        <w:tblLook w:val="04A0" w:firstRow="1" w:lastRow="0" w:firstColumn="1" w:lastColumn="0" w:noHBand="0" w:noVBand="1"/>
      </w:tblPr>
      <w:tblGrid>
        <w:gridCol w:w="4838"/>
        <w:gridCol w:w="4789"/>
      </w:tblGrid>
      <w:tr>
        <w:trPr/>
        <w:tc>
          <w:tcPr>
            <w:tcW w:w="4942" w:type="dxa"/>
            <w:textDirection w:val="lrTb"/>
            <w:noWrap w:val="false"/>
          </w:tcPr>
          <w:p>
            <w:pPr>
              <w:pStyle w:val="683"/>
              <w:jc w:val="center"/>
              <w:rPr>
                <w:b/>
                <w:sz w:val="30"/>
                <w:szCs w:val="30"/>
                <w:lang w:val="uk-UA"/>
              </w:rPr>
            </w:pPr>
            <w:r>
              <w:rPr>
                <w:b/>
                <w:sz w:val="30"/>
                <w:szCs w:val="30"/>
                <w:lang w:val="uk-UA"/>
              </w:rPr>
              <w:t xml:space="preserve">Обладнання</w:t>
            </w:r>
            <w:r/>
          </w:p>
        </w:tc>
        <w:tc>
          <w:tcPr>
            <w:tcW w:w="4913" w:type="dxa"/>
            <w:textDirection w:val="lrTb"/>
            <w:noWrap w:val="false"/>
          </w:tcPr>
          <w:p>
            <w:pPr>
              <w:pStyle w:val="683"/>
              <w:jc w:val="center"/>
              <w:rPr>
                <w:b/>
                <w:sz w:val="30"/>
                <w:szCs w:val="30"/>
                <w:lang w:val="uk-UA"/>
              </w:rPr>
            </w:pPr>
            <w:r>
              <w:rPr>
                <w:b/>
                <w:sz w:val="30"/>
                <w:szCs w:val="30"/>
                <w:lang w:val="uk-UA"/>
              </w:rPr>
              <w:t xml:space="preserve">Технічні</w:t>
            </w:r>
            <w:r>
              <w:rPr>
                <w:b/>
                <w:sz w:val="30"/>
                <w:szCs w:val="30"/>
                <w:lang w:val="uk-UA"/>
              </w:rPr>
              <w:t xml:space="preserve"> та якісні</w:t>
            </w:r>
            <w:r>
              <w:rPr>
                <w:b/>
                <w:sz w:val="30"/>
                <w:szCs w:val="30"/>
                <w:lang w:val="uk-UA"/>
              </w:rPr>
              <w:t xml:space="preserve"> характеристики </w:t>
            </w:r>
            <w:r>
              <w:rPr>
                <w:b/>
                <w:sz w:val="30"/>
                <w:szCs w:val="30"/>
                <w:lang w:val="uk-UA"/>
              </w:rPr>
              <w:t xml:space="preserve">предмета закупівлі</w:t>
            </w:r>
            <w:r/>
          </w:p>
        </w:tc>
      </w:tr>
      <w:tr>
        <w:trPr/>
        <w:tc>
          <w:tcPr>
            <w:tcW w:w="4942" w:type="dxa"/>
            <w:textDirection w:val="lrTb"/>
            <w:noWrap w:val="false"/>
          </w:tcPr>
          <w:p>
            <w:pPr>
              <w:pStyle w:val="683"/>
              <w:jc w:val="both"/>
              <w:rPr>
                <w:b/>
                <w:szCs w:val="28"/>
                <w:lang w:val="uk-UA"/>
              </w:rPr>
            </w:pPr>
            <w:r>
              <w:rPr>
                <w:b/>
                <w:szCs w:val="28"/>
                <w:lang w:val="uk-UA"/>
              </w:rPr>
              <w:t xml:space="preserve">Тип ліфта, вид головного приводу</w:t>
            </w:r>
            <w:r/>
          </w:p>
        </w:tc>
        <w:tc>
          <w:tcPr>
            <w:tcW w:w="4913" w:type="dxa"/>
            <w:textDirection w:val="lrTb"/>
            <w:noWrap w:val="false"/>
          </w:tcPr>
          <w:p>
            <w:pPr>
              <w:pStyle w:val="683"/>
              <w:jc w:val="both"/>
              <w:rPr>
                <w:bCs/>
                <w:szCs w:val="28"/>
                <w:lang w:val="uk-UA"/>
              </w:rPr>
            </w:pPr>
            <w:r>
              <w:rPr>
                <w:bCs/>
                <w:szCs w:val="28"/>
                <w:lang w:val="uk-UA"/>
              </w:rPr>
              <w:t xml:space="preserve">Електричний, </w:t>
            </w:r>
            <w:r>
              <w:rPr>
                <w:bCs/>
                <w:szCs w:val="28"/>
                <w:lang w:val="uk-UA"/>
              </w:rPr>
              <w:t xml:space="preserve">безредукторна</w:t>
            </w:r>
            <w:r>
              <w:rPr>
                <w:bCs/>
                <w:szCs w:val="28"/>
                <w:lang w:val="uk-UA"/>
              </w:rPr>
              <w:t xml:space="preserve"> лебідка</w:t>
            </w:r>
            <w:r/>
          </w:p>
        </w:tc>
      </w:tr>
      <w:tr>
        <w:trPr/>
        <w:tc>
          <w:tcPr>
            <w:tcW w:w="4942" w:type="dxa"/>
            <w:textDirection w:val="lrTb"/>
            <w:noWrap w:val="false"/>
          </w:tcPr>
          <w:p>
            <w:pPr>
              <w:pStyle w:val="683"/>
              <w:jc w:val="both"/>
              <w:rPr>
                <w:b/>
                <w:szCs w:val="28"/>
                <w:lang w:val="uk-UA"/>
              </w:rPr>
            </w:pPr>
            <w:r>
              <w:rPr>
                <w:b/>
                <w:szCs w:val="28"/>
                <w:lang w:val="uk-UA"/>
              </w:rPr>
              <w:t xml:space="preserve">Машинне приміщення</w:t>
            </w:r>
            <w:r/>
          </w:p>
        </w:tc>
        <w:tc>
          <w:tcPr>
            <w:tcW w:w="4913" w:type="dxa"/>
            <w:textDirection w:val="lrTb"/>
            <w:noWrap w:val="false"/>
          </w:tcPr>
          <w:p>
            <w:pPr>
              <w:pStyle w:val="683"/>
              <w:jc w:val="both"/>
              <w:rPr>
                <w:bCs/>
                <w:szCs w:val="28"/>
                <w:lang w:val="uk-UA"/>
              </w:rPr>
            </w:pPr>
            <w:r>
              <w:rPr>
                <w:bCs/>
                <w:szCs w:val="28"/>
                <w:lang w:val="uk-UA"/>
              </w:rPr>
              <w:t xml:space="preserve">Без МП</w:t>
            </w:r>
            <w:r/>
          </w:p>
        </w:tc>
      </w:tr>
      <w:tr>
        <w:trPr/>
        <w:tc>
          <w:tcPr>
            <w:tcW w:w="4942" w:type="dxa"/>
            <w:textDirection w:val="lrTb"/>
            <w:noWrap w:val="false"/>
          </w:tcPr>
          <w:p>
            <w:pPr>
              <w:pStyle w:val="683"/>
              <w:jc w:val="both"/>
              <w:rPr>
                <w:b/>
                <w:szCs w:val="28"/>
                <w:lang w:val="uk-UA"/>
              </w:rPr>
            </w:pPr>
            <w:r>
              <w:rPr>
                <w:b/>
                <w:szCs w:val="28"/>
                <w:lang w:val="uk-UA"/>
              </w:rPr>
              <w:t xml:space="preserve">Вантажопідйомність</w:t>
            </w:r>
            <w:r/>
          </w:p>
        </w:tc>
        <w:tc>
          <w:tcPr>
            <w:tcW w:w="4913" w:type="dxa"/>
            <w:textDirection w:val="lrTb"/>
            <w:noWrap w:val="false"/>
          </w:tcPr>
          <w:p>
            <w:pPr>
              <w:pStyle w:val="683"/>
              <w:jc w:val="both"/>
              <w:rPr>
                <w:bCs/>
                <w:szCs w:val="28"/>
                <w:lang w:val="uk-UA"/>
              </w:rPr>
            </w:pPr>
            <w:r>
              <w:rPr>
                <w:bCs/>
                <w:szCs w:val="28"/>
                <w:lang w:val="uk-UA"/>
              </w:rPr>
              <w:t xml:space="preserve">630 кг</w:t>
            </w:r>
            <w:r/>
          </w:p>
        </w:tc>
      </w:tr>
      <w:tr>
        <w:trPr/>
        <w:tc>
          <w:tcPr>
            <w:tcW w:w="4942" w:type="dxa"/>
            <w:textDirection w:val="lrTb"/>
            <w:noWrap w:val="false"/>
          </w:tcPr>
          <w:p>
            <w:pPr>
              <w:pStyle w:val="683"/>
              <w:jc w:val="both"/>
              <w:rPr>
                <w:b/>
                <w:szCs w:val="28"/>
                <w:lang w:val="uk-UA"/>
              </w:rPr>
            </w:pPr>
            <w:r>
              <w:rPr>
                <w:b/>
                <w:szCs w:val="28"/>
                <w:lang w:val="uk-UA"/>
              </w:rPr>
              <w:t xml:space="preserve">Швидкість руху кабіни</w:t>
            </w:r>
            <w:r/>
          </w:p>
        </w:tc>
        <w:tc>
          <w:tcPr>
            <w:tcW w:w="4913" w:type="dxa"/>
            <w:textDirection w:val="lrTb"/>
            <w:noWrap w:val="false"/>
          </w:tcPr>
          <w:p>
            <w:pPr>
              <w:pStyle w:val="683"/>
              <w:jc w:val="both"/>
              <w:rPr>
                <w:bCs/>
                <w:szCs w:val="28"/>
                <w:lang w:val="uk-UA"/>
              </w:rPr>
            </w:pPr>
            <w:r>
              <w:rPr>
                <w:bCs/>
                <w:szCs w:val="28"/>
                <w:lang w:val="uk-UA"/>
              </w:rPr>
              <w:t xml:space="preserve">1 м/с</w:t>
            </w:r>
            <w:r/>
          </w:p>
        </w:tc>
      </w:tr>
      <w:tr>
        <w:trPr/>
        <w:tc>
          <w:tcPr>
            <w:tcW w:w="4942" w:type="dxa"/>
            <w:textDirection w:val="lrTb"/>
            <w:noWrap w:val="false"/>
          </w:tcPr>
          <w:p>
            <w:pPr>
              <w:pStyle w:val="683"/>
              <w:jc w:val="both"/>
              <w:rPr>
                <w:b/>
                <w:szCs w:val="28"/>
                <w:lang w:val="uk-UA"/>
              </w:rPr>
            </w:pPr>
            <w:r>
              <w:rPr>
                <w:b/>
                <w:szCs w:val="28"/>
                <w:lang w:val="uk-UA"/>
              </w:rPr>
              <w:t xml:space="preserve">Кількість зупинок</w:t>
            </w:r>
            <w:r/>
          </w:p>
        </w:tc>
        <w:tc>
          <w:tcPr>
            <w:tcW w:w="4913" w:type="dxa"/>
            <w:textDirection w:val="lrTb"/>
            <w:noWrap w:val="false"/>
          </w:tcPr>
          <w:p>
            <w:pPr>
              <w:pStyle w:val="683"/>
              <w:jc w:val="both"/>
              <w:rPr>
                <w:bCs/>
                <w:szCs w:val="28"/>
                <w:lang w:val="uk-UA"/>
              </w:rPr>
            </w:pPr>
            <w:r>
              <w:rPr>
                <w:bCs/>
                <w:szCs w:val="28"/>
                <w:lang w:val="uk-UA"/>
              </w:rPr>
              <w:t xml:space="preserve">3</w:t>
            </w:r>
            <w:r/>
          </w:p>
        </w:tc>
      </w:tr>
      <w:tr>
        <w:trPr/>
        <w:tc>
          <w:tcPr>
            <w:tcW w:w="4942" w:type="dxa"/>
            <w:textDirection w:val="lrTb"/>
            <w:noWrap w:val="false"/>
          </w:tcPr>
          <w:p>
            <w:pPr>
              <w:pStyle w:val="683"/>
              <w:jc w:val="both"/>
              <w:rPr>
                <w:b/>
                <w:szCs w:val="28"/>
                <w:lang w:val="uk-UA"/>
              </w:rPr>
            </w:pPr>
            <w:r>
              <w:rPr>
                <w:b/>
                <w:szCs w:val="28"/>
                <w:lang w:val="uk-UA"/>
              </w:rPr>
              <w:t xml:space="preserve">Висота підйому</w:t>
            </w:r>
            <w:r/>
          </w:p>
        </w:tc>
        <w:tc>
          <w:tcPr>
            <w:tcW w:w="4913" w:type="dxa"/>
            <w:textDirection w:val="lrTb"/>
            <w:noWrap w:val="false"/>
          </w:tcPr>
          <w:p>
            <w:pPr>
              <w:pStyle w:val="683"/>
              <w:jc w:val="both"/>
              <w:rPr>
                <w:bCs/>
                <w:szCs w:val="28"/>
                <w:lang w:val="uk-UA"/>
              </w:rPr>
            </w:pPr>
            <w:r>
              <w:rPr>
                <w:bCs/>
                <w:szCs w:val="28"/>
                <w:lang w:val="uk-UA"/>
              </w:rPr>
              <w:t xml:space="preserve">згідно з </w:t>
            </w:r>
            <w:r>
              <w:rPr>
                <w:bCs/>
                <w:szCs w:val="28"/>
                <w:lang w:val="uk-UA"/>
              </w:rPr>
              <w:t xml:space="preserve">проєктом</w:t>
            </w:r>
            <w:r/>
          </w:p>
        </w:tc>
      </w:tr>
      <w:tr>
        <w:trPr/>
        <w:tc>
          <w:tcPr>
            <w:tcW w:w="4942" w:type="dxa"/>
            <w:textDirection w:val="lrTb"/>
            <w:noWrap w:val="false"/>
          </w:tcPr>
          <w:p>
            <w:pPr>
              <w:pStyle w:val="683"/>
              <w:jc w:val="both"/>
              <w:rPr>
                <w:b/>
                <w:szCs w:val="28"/>
                <w:lang w:val="uk-UA"/>
              </w:rPr>
            </w:pPr>
            <w:r>
              <w:rPr>
                <w:b/>
                <w:szCs w:val="28"/>
                <w:lang w:val="uk-UA"/>
              </w:rPr>
              <w:t xml:space="preserve">Розташування дверей шахти та кабіни</w:t>
            </w:r>
            <w:r/>
          </w:p>
        </w:tc>
        <w:tc>
          <w:tcPr>
            <w:tcW w:w="4913" w:type="dxa"/>
            <w:textDirection w:val="lrTb"/>
            <w:noWrap w:val="false"/>
          </w:tcPr>
          <w:p>
            <w:pPr>
              <w:pStyle w:val="683"/>
              <w:jc w:val="both"/>
              <w:rPr>
                <w:bCs/>
                <w:szCs w:val="28"/>
                <w:lang w:val="uk-UA"/>
              </w:rPr>
            </w:pPr>
            <w:r>
              <w:rPr>
                <w:bCs/>
                <w:szCs w:val="28"/>
                <w:lang w:val="uk-UA"/>
              </w:rPr>
              <w:t xml:space="preserve">З однієї сторони непрохідна кабіна</w:t>
            </w:r>
            <w:r/>
          </w:p>
        </w:tc>
      </w:tr>
      <w:tr>
        <w:trPr/>
        <w:tc>
          <w:tcPr>
            <w:tcW w:w="4942" w:type="dxa"/>
            <w:textDirection w:val="lrTb"/>
            <w:noWrap w:val="false"/>
          </w:tcPr>
          <w:p>
            <w:pPr>
              <w:pStyle w:val="683"/>
              <w:jc w:val="both"/>
              <w:rPr>
                <w:b/>
                <w:szCs w:val="28"/>
                <w:lang w:val="uk-UA"/>
              </w:rPr>
            </w:pPr>
            <w:r>
              <w:rPr>
                <w:b/>
                <w:szCs w:val="28"/>
                <w:lang w:val="uk-UA"/>
              </w:rPr>
              <w:t xml:space="preserve">Тип дверей кабіни, кількість дверей</w:t>
            </w:r>
            <w:r/>
          </w:p>
        </w:tc>
        <w:tc>
          <w:tcPr>
            <w:tcW w:w="4913" w:type="dxa"/>
            <w:textDirection w:val="lrTb"/>
            <w:noWrap w:val="false"/>
          </w:tcPr>
          <w:p>
            <w:pPr>
              <w:pStyle w:val="683"/>
              <w:jc w:val="both"/>
              <w:rPr>
                <w:bCs/>
                <w:szCs w:val="28"/>
                <w:lang w:val="uk-UA"/>
              </w:rPr>
            </w:pPr>
            <w:r>
              <w:rPr>
                <w:bCs/>
                <w:szCs w:val="28"/>
                <w:lang w:val="uk-UA"/>
              </w:rPr>
              <w:t xml:space="preserve">Автоматичні, телескопічне відкриття, непрохідна кабіна</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Розмір отвору дверей шахти</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900 х 2000 мм</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Матеріал дверей кабіни</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Нержавіюча сталь</w:t>
            </w:r>
            <w:r/>
          </w:p>
        </w:tc>
      </w:tr>
      <w:tr>
        <w:trPr/>
        <w:tc>
          <w:tcPr>
            <w:tcW w:w="4942" w:type="dxa"/>
            <w:textDirection w:val="lrTb"/>
            <w:noWrap w:val="false"/>
          </w:tcPr>
          <w:p>
            <w:pPr>
              <w:pStyle w:val="683"/>
              <w:numPr>
                <w:ilvl w:val="0"/>
                <w:numId w:val="11"/>
              </w:numPr>
              <w:rPr>
                <w:bCs/>
                <w:i/>
                <w:iCs/>
                <w:sz w:val="26"/>
                <w:szCs w:val="26"/>
                <w:lang w:val="uk-UA"/>
              </w:rPr>
            </w:pPr>
            <w:r>
              <w:rPr>
                <w:bCs/>
                <w:i/>
                <w:iCs/>
                <w:sz w:val="26"/>
                <w:szCs w:val="26"/>
                <w:lang w:val="uk-UA"/>
              </w:rPr>
              <w:t xml:space="preserve">Фотозавіса</w:t>
            </w:r>
            <w:r>
              <w:rPr>
                <w:bCs/>
                <w:i/>
                <w:iCs/>
                <w:sz w:val="26"/>
                <w:szCs w:val="26"/>
                <w:lang w:val="uk-UA"/>
              </w:rPr>
              <w:t xml:space="preserve">, захист від з</w:t>
            </w:r>
            <w:r>
              <w:rPr>
                <w:bCs/>
                <w:i/>
                <w:iCs/>
                <w:sz w:val="26"/>
                <w:szCs w:val="26"/>
                <w:lang w:val="uk-UA"/>
              </w:rPr>
              <w:t xml:space="preserve">атиснення</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Так </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Швидке та плавне відкриття дверей</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Так</w:t>
            </w:r>
            <w:r/>
          </w:p>
        </w:tc>
      </w:tr>
      <w:tr>
        <w:trPr/>
        <w:tc>
          <w:tcPr>
            <w:tcW w:w="4942" w:type="dxa"/>
            <w:textDirection w:val="lrTb"/>
            <w:noWrap w:val="false"/>
          </w:tcPr>
          <w:p>
            <w:pPr>
              <w:pStyle w:val="683"/>
              <w:jc w:val="both"/>
              <w:rPr>
                <w:b/>
                <w:sz w:val="26"/>
                <w:szCs w:val="26"/>
                <w:lang w:val="uk-UA"/>
              </w:rPr>
            </w:pPr>
            <w:r>
              <w:rPr>
                <w:b/>
                <w:sz w:val="26"/>
                <w:szCs w:val="26"/>
                <w:lang w:val="uk-UA"/>
              </w:rPr>
              <w:t xml:space="preserve">Тип дверей шахти ліфту</w:t>
            </w:r>
            <w:r/>
          </w:p>
        </w:tc>
        <w:tc>
          <w:tcPr>
            <w:tcW w:w="4913" w:type="dxa"/>
            <w:textDirection w:val="lrTb"/>
            <w:noWrap w:val="false"/>
          </w:tcPr>
          <w:p>
            <w:pPr>
              <w:pStyle w:val="683"/>
              <w:jc w:val="both"/>
              <w:rPr>
                <w:bCs/>
                <w:sz w:val="26"/>
                <w:szCs w:val="26"/>
                <w:lang w:val="uk-UA"/>
              </w:rPr>
            </w:pPr>
            <w:r>
              <w:rPr>
                <w:bCs/>
                <w:sz w:val="26"/>
                <w:szCs w:val="26"/>
                <w:lang w:val="uk-UA"/>
              </w:rPr>
              <w:t xml:space="preserve">Автоматичні</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Кількість дверей</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1</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Розмір отвору дверей шахти </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900 х 2000 мм</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Тип відкривання</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Автоматичні, телескопічне відкривання</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Матеріал дверей оздоблення</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Нержавіюча сталь</w:t>
            </w:r>
            <w:r/>
          </w:p>
        </w:tc>
      </w:tr>
      <w:tr>
        <w:trPr/>
        <w:tc>
          <w:tcPr>
            <w:tcW w:w="4942" w:type="dxa"/>
            <w:textDirection w:val="lrTb"/>
            <w:noWrap w:val="false"/>
          </w:tcPr>
          <w:p>
            <w:pPr>
              <w:pStyle w:val="683"/>
              <w:jc w:val="both"/>
              <w:rPr>
                <w:b/>
                <w:szCs w:val="28"/>
                <w:lang w:val="uk-UA"/>
              </w:rPr>
            </w:pPr>
            <w:r>
              <w:rPr>
                <w:b/>
                <w:szCs w:val="28"/>
                <w:lang w:val="uk-UA"/>
              </w:rPr>
              <w:t xml:space="preserve">Шахта ліфту, розмір шахти</w:t>
            </w:r>
            <w:r/>
          </w:p>
        </w:tc>
        <w:tc>
          <w:tcPr>
            <w:tcW w:w="4913" w:type="dxa"/>
            <w:textDirection w:val="lrTb"/>
            <w:noWrap w:val="false"/>
          </w:tcPr>
          <w:p>
            <w:pPr>
              <w:pStyle w:val="683"/>
              <w:jc w:val="both"/>
              <w:rPr>
                <w:bCs/>
                <w:szCs w:val="28"/>
                <w:lang w:val="uk-UA"/>
              </w:rPr>
            </w:pPr>
            <w:r>
              <w:rPr>
                <w:bCs/>
                <w:szCs w:val="28"/>
                <w:lang w:val="uk-UA"/>
              </w:rPr>
              <w:t xml:space="preserve">Згідно з </w:t>
            </w:r>
            <w:r>
              <w:rPr>
                <w:bCs/>
                <w:szCs w:val="28"/>
                <w:lang w:val="uk-UA"/>
              </w:rPr>
              <w:t xml:space="preserve">проєктом</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Глибина напрямку</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1400 мм</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Висота шахти на останньому поверсі</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3800 мм</w:t>
            </w:r>
            <w:r/>
          </w:p>
        </w:tc>
      </w:tr>
      <w:tr>
        <w:trPr/>
        <w:tc>
          <w:tcPr>
            <w:tcW w:w="4942" w:type="dxa"/>
            <w:textDirection w:val="lrTb"/>
            <w:noWrap w:val="false"/>
          </w:tcPr>
          <w:p>
            <w:pPr>
              <w:pStyle w:val="683"/>
              <w:jc w:val="both"/>
              <w:rPr>
                <w:b/>
                <w:szCs w:val="28"/>
                <w:lang w:val="uk-UA"/>
              </w:rPr>
            </w:pPr>
            <w:r>
              <w:rPr>
                <w:b/>
                <w:szCs w:val="28"/>
                <w:lang w:val="uk-UA"/>
              </w:rPr>
              <w:t xml:space="preserve">Кабіна ліфту</w:t>
            </w:r>
            <w:r/>
          </w:p>
        </w:tc>
        <w:tc>
          <w:tcPr>
            <w:tcW w:w="4913" w:type="dxa"/>
            <w:textDirection w:val="lrTb"/>
            <w:noWrap w:val="false"/>
          </w:tcPr>
          <w:p>
            <w:pPr>
              <w:pStyle w:val="683"/>
              <w:jc w:val="both"/>
              <w:rPr>
                <w:bCs/>
                <w:szCs w:val="28"/>
                <w:lang w:val="uk-UA"/>
              </w:rPr>
            </w:pPr>
            <w:r>
              <w:rPr>
                <w:bCs/>
                <w:szCs w:val="28"/>
                <w:lang w:val="uk-UA"/>
              </w:rPr>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Розмір кабіни ліфту</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100 х 1100 х 2100</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Матеріал стін кабіни</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Нержавіюча сталь</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Стеля</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Нержавіюча сталь</w:t>
            </w:r>
            <w:r>
              <w:rPr>
                <w:bCs/>
                <w:i/>
                <w:iCs/>
                <w:sz w:val="26"/>
                <w:szCs w:val="26"/>
                <w:lang w:val="uk-UA"/>
              </w:rPr>
              <w:t xml:space="preserve">, логотип на стелі</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Підлога </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Граніт</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Поручень </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Так</w:t>
            </w:r>
            <w:r/>
          </w:p>
        </w:tc>
      </w:tr>
      <w:tr>
        <w:trPr/>
        <w:tc>
          <w:tcPr>
            <w:tcW w:w="4942" w:type="dxa"/>
            <w:textDirection w:val="lrTb"/>
            <w:noWrap w:val="false"/>
          </w:tcPr>
          <w:p>
            <w:pPr>
              <w:pStyle w:val="683"/>
              <w:jc w:val="both"/>
              <w:rPr>
                <w:b/>
                <w:szCs w:val="28"/>
                <w:lang w:val="uk-UA"/>
              </w:rPr>
            </w:pPr>
            <w:r>
              <w:rPr>
                <w:b/>
                <w:szCs w:val="28"/>
                <w:lang w:val="uk-UA"/>
              </w:rPr>
              <w:t xml:space="preserve">Панель наказів</w:t>
            </w:r>
            <w:r/>
          </w:p>
        </w:tc>
        <w:tc>
          <w:tcPr>
            <w:tcW w:w="4913" w:type="dxa"/>
            <w:textDirection w:val="lrTb"/>
            <w:noWrap w:val="false"/>
          </w:tcPr>
          <w:p>
            <w:pPr>
              <w:pStyle w:val="683"/>
              <w:jc w:val="both"/>
              <w:rPr>
                <w:bCs/>
                <w:sz w:val="26"/>
                <w:szCs w:val="26"/>
                <w:lang w:val="uk-UA"/>
              </w:rPr>
            </w:pPr>
            <w:r>
              <w:rPr>
                <w:bCs/>
                <w:sz w:val="26"/>
                <w:szCs w:val="26"/>
                <w:lang w:val="uk-UA"/>
              </w:rPr>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Нумерація зупинок</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1,2,3</w:t>
            </w:r>
            <w:r/>
          </w:p>
        </w:tc>
      </w:tr>
      <w:tr>
        <w:trPr/>
        <w:tc>
          <w:tcPr>
            <w:tcW w:w="4942" w:type="dxa"/>
            <w:textDirection w:val="lrTb"/>
            <w:noWrap w:val="false"/>
          </w:tcPr>
          <w:p>
            <w:pPr>
              <w:pStyle w:val="683"/>
              <w:numPr>
                <w:ilvl w:val="0"/>
                <w:numId w:val="11"/>
              </w:numPr>
              <w:jc w:val="both"/>
              <w:rPr>
                <w:bCs/>
                <w:i/>
                <w:iCs/>
                <w:sz w:val="26"/>
                <w:szCs w:val="26"/>
                <w:lang w:val="uk-UA"/>
              </w:rPr>
            </w:pPr>
            <w:r>
              <w:rPr>
                <w:bCs/>
                <w:i/>
                <w:iCs/>
                <w:sz w:val="26"/>
                <w:szCs w:val="26"/>
                <w:lang w:val="uk-UA"/>
              </w:rPr>
              <w:t xml:space="preserve">Кнопки</w:t>
            </w:r>
            <w:r/>
          </w:p>
        </w:tc>
        <w:tc>
          <w:tcPr>
            <w:tcW w:w="4913" w:type="dxa"/>
            <w:textDirection w:val="lrTb"/>
            <w:noWrap w:val="false"/>
          </w:tcPr>
          <w:p>
            <w:pPr>
              <w:pStyle w:val="683"/>
              <w:jc w:val="both"/>
              <w:rPr>
                <w:bCs/>
                <w:i/>
                <w:iCs/>
                <w:sz w:val="26"/>
                <w:szCs w:val="26"/>
                <w:lang w:val="uk-UA"/>
              </w:rPr>
            </w:pPr>
            <w:r>
              <w:rPr>
                <w:bCs/>
                <w:i/>
                <w:iCs/>
                <w:sz w:val="26"/>
                <w:szCs w:val="26"/>
                <w:lang w:val="uk-UA"/>
              </w:rPr>
              <w:t xml:space="preserve">Вандалостійкі</w:t>
            </w:r>
            <w:r>
              <w:rPr>
                <w:bCs/>
                <w:i/>
                <w:iCs/>
                <w:sz w:val="26"/>
                <w:szCs w:val="26"/>
                <w:lang w:val="uk-UA"/>
              </w:rPr>
              <w:t xml:space="preserve">, шрифт Брайля</w:t>
            </w:r>
            <w:r/>
          </w:p>
        </w:tc>
      </w:tr>
      <w:tr>
        <w:trPr/>
        <w:tc>
          <w:tcPr>
            <w:tcW w:w="4942" w:type="dxa"/>
            <w:textDirection w:val="lrTb"/>
            <w:noWrap w:val="false"/>
          </w:tcPr>
          <w:p>
            <w:pPr>
              <w:pStyle w:val="683"/>
              <w:jc w:val="both"/>
              <w:rPr>
                <w:b/>
                <w:sz w:val="26"/>
                <w:szCs w:val="26"/>
                <w:lang w:val="uk-UA"/>
              </w:rPr>
            </w:pPr>
            <w:r>
              <w:rPr>
                <w:b/>
                <w:sz w:val="26"/>
                <w:szCs w:val="26"/>
                <w:lang w:val="uk-UA"/>
              </w:rPr>
              <w:t xml:space="preserve">Поверхові кнопки виклику</w:t>
            </w:r>
            <w:r/>
          </w:p>
        </w:tc>
        <w:tc>
          <w:tcPr>
            <w:tcW w:w="4913" w:type="dxa"/>
            <w:textDirection w:val="lrTb"/>
            <w:noWrap w:val="false"/>
          </w:tcPr>
          <w:p>
            <w:pPr>
              <w:pStyle w:val="683"/>
              <w:jc w:val="both"/>
              <w:rPr>
                <w:bCs/>
                <w:sz w:val="26"/>
                <w:szCs w:val="26"/>
                <w:lang w:val="uk-UA"/>
              </w:rPr>
            </w:pPr>
            <w:r>
              <w:rPr>
                <w:bCs/>
                <w:sz w:val="26"/>
                <w:szCs w:val="26"/>
                <w:lang w:val="uk-UA"/>
              </w:rPr>
              <w:t xml:space="preserve">Нержавіюча сталь, індикація положення кабіни на кожному поверсі</w:t>
            </w:r>
            <w:r/>
          </w:p>
        </w:tc>
      </w:tr>
      <w:tr>
        <w:trPr/>
        <w:tc>
          <w:tcPr>
            <w:tcW w:w="4942" w:type="dxa"/>
            <w:textDirection w:val="lrTb"/>
            <w:noWrap w:val="false"/>
          </w:tcPr>
          <w:p>
            <w:pPr>
              <w:pStyle w:val="683"/>
              <w:jc w:val="both"/>
              <w:rPr>
                <w:b/>
                <w:szCs w:val="28"/>
                <w:lang w:val="uk-UA"/>
              </w:rPr>
            </w:pPr>
            <w:r>
              <w:rPr>
                <w:b/>
                <w:szCs w:val="28"/>
                <w:lang w:val="uk-UA"/>
              </w:rPr>
              <w:t xml:space="preserve">І</w:t>
            </w:r>
            <w:r>
              <w:rPr>
                <w:b/>
                <w:szCs w:val="28"/>
                <w:lang w:val="uk-UA"/>
              </w:rPr>
              <w:t xml:space="preserve">ндикація положення кабіни на кожному поверсі</w:t>
            </w:r>
            <w:r/>
          </w:p>
        </w:tc>
        <w:tc>
          <w:tcPr>
            <w:tcW w:w="4913" w:type="dxa"/>
            <w:textDirection w:val="lrTb"/>
            <w:noWrap w:val="false"/>
          </w:tcPr>
          <w:p>
            <w:pPr>
              <w:pStyle w:val="683"/>
              <w:jc w:val="both"/>
              <w:rPr>
                <w:bCs/>
                <w:sz w:val="26"/>
                <w:szCs w:val="26"/>
                <w:lang w:val="uk-UA"/>
              </w:rPr>
            </w:pPr>
            <w:r>
              <w:rPr>
                <w:bCs/>
                <w:sz w:val="26"/>
                <w:szCs w:val="26"/>
                <w:lang w:val="uk-UA"/>
              </w:rPr>
              <w:t xml:space="preserve">Так</w:t>
            </w:r>
            <w:r/>
          </w:p>
        </w:tc>
      </w:tr>
      <w:tr>
        <w:trPr/>
        <w:tc>
          <w:tcPr>
            <w:tcW w:w="4942" w:type="dxa"/>
            <w:textDirection w:val="lrTb"/>
            <w:noWrap w:val="false"/>
          </w:tcPr>
          <w:p>
            <w:pPr>
              <w:pStyle w:val="683"/>
              <w:jc w:val="both"/>
              <w:rPr>
                <w:b/>
                <w:szCs w:val="28"/>
                <w:lang w:val="uk-UA"/>
              </w:rPr>
            </w:pPr>
            <w:r>
              <w:rPr>
                <w:b/>
                <w:szCs w:val="28"/>
                <w:lang w:val="uk-UA"/>
              </w:rPr>
              <w:t xml:space="preserve">Поверхова індикація</w:t>
            </w:r>
            <w:r/>
          </w:p>
        </w:tc>
        <w:tc>
          <w:tcPr>
            <w:tcW w:w="4913" w:type="dxa"/>
            <w:textDirection w:val="lrTb"/>
            <w:noWrap w:val="false"/>
          </w:tcPr>
          <w:p>
            <w:pPr>
              <w:pStyle w:val="683"/>
              <w:jc w:val="both"/>
              <w:rPr>
                <w:bCs/>
                <w:sz w:val="26"/>
                <w:szCs w:val="26"/>
                <w:lang w:val="uk-UA"/>
              </w:rPr>
            </w:pPr>
            <w:r>
              <w:rPr>
                <w:bCs/>
                <w:sz w:val="26"/>
                <w:szCs w:val="26"/>
                <w:lang w:val="uk-UA"/>
              </w:rPr>
              <w:t xml:space="preserve">Матричний </w:t>
            </w:r>
            <w:r>
              <w:rPr>
                <w:bCs/>
                <w:sz w:val="26"/>
                <w:szCs w:val="26"/>
                <w:lang w:val="uk-UA"/>
              </w:rPr>
              <w:t xml:space="preserve">дісплей</w:t>
            </w:r>
            <w:r/>
          </w:p>
        </w:tc>
      </w:tr>
      <w:tr>
        <w:trPr/>
        <w:tc>
          <w:tcPr>
            <w:tcW w:w="4942" w:type="dxa"/>
            <w:textDirection w:val="lrTb"/>
            <w:noWrap w:val="false"/>
          </w:tcPr>
          <w:p>
            <w:pPr>
              <w:pStyle w:val="683"/>
              <w:jc w:val="both"/>
              <w:rPr>
                <w:b/>
                <w:szCs w:val="28"/>
                <w:lang w:val="uk-UA"/>
              </w:rPr>
            </w:pPr>
            <w:r>
              <w:rPr>
                <w:b/>
                <w:szCs w:val="28"/>
                <w:lang w:val="uk-UA"/>
              </w:rPr>
              <w:t xml:space="preserve">Режим «Пожежна евакуація»</w:t>
            </w:r>
            <w:r/>
          </w:p>
        </w:tc>
        <w:tc>
          <w:tcPr>
            <w:tcW w:w="4913" w:type="dxa"/>
            <w:textDirection w:val="lrTb"/>
            <w:noWrap w:val="false"/>
          </w:tcPr>
          <w:p>
            <w:pPr>
              <w:pStyle w:val="683"/>
              <w:jc w:val="both"/>
              <w:rPr>
                <w:bCs/>
                <w:sz w:val="26"/>
                <w:szCs w:val="26"/>
                <w:lang w:val="uk-UA"/>
              </w:rPr>
            </w:pPr>
            <w:r>
              <w:rPr>
                <w:bCs/>
                <w:sz w:val="26"/>
                <w:szCs w:val="26"/>
                <w:lang w:val="uk-UA"/>
              </w:rPr>
              <w:t xml:space="preserve">Так</w:t>
            </w:r>
            <w:r/>
          </w:p>
        </w:tc>
      </w:tr>
      <w:tr>
        <w:trPr/>
        <w:tc>
          <w:tcPr>
            <w:tcW w:w="4942" w:type="dxa"/>
            <w:textDirection w:val="lrTb"/>
            <w:noWrap w:val="false"/>
          </w:tcPr>
          <w:p>
            <w:pPr>
              <w:pStyle w:val="683"/>
              <w:jc w:val="both"/>
              <w:rPr>
                <w:b/>
                <w:szCs w:val="28"/>
                <w:lang w:val="uk-UA"/>
              </w:rPr>
            </w:pPr>
            <w:r>
              <w:rPr>
                <w:b/>
                <w:szCs w:val="28"/>
                <w:lang w:val="uk-UA"/>
              </w:rPr>
              <w:t xml:space="preserve">Індикатор перевантаження</w:t>
            </w:r>
            <w:r/>
          </w:p>
        </w:tc>
        <w:tc>
          <w:tcPr>
            <w:tcW w:w="4913" w:type="dxa"/>
            <w:textDirection w:val="lrTb"/>
            <w:noWrap w:val="false"/>
          </w:tcPr>
          <w:p>
            <w:pPr>
              <w:pStyle w:val="683"/>
              <w:jc w:val="both"/>
              <w:rPr>
                <w:bCs/>
                <w:sz w:val="26"/>
                <w:szCs w:val="26"/>
                <w:lang w:val="uk-UA"/>
              </w:rPr>
            </w:pPr>
            <w:r>
              <w:rPr>
                <w:bCs/>
                <w:sz w:val="26"/>
                <w:szCs w:val="26"/>
                <w:lang w:val="uk-UA"/>
              </w:rPr>
              <w:t xml:space="preserve">Так</w:t>
            </w:r>
            <w:r/>
          </w:p>
        </w:tc>
      </w:tr>
      <w:tr>
        <w:trPr/>
        <w:tc>
          <w:tcPr>
            <w:tcW w:w="4942" w:type="dxa"/>
            <w:textDirection w:val="lrTb"/>
            <w:noWrap w:val="false"/>
          </w:tcPr>
          <w:p>
            <w:pPr>
              <w:pStyle w:val="683"/>
              <w:jc w:val="both"/>
              <w:rPr>
                <w:b/>
                <w:szCs w:val="28"/>
                <w:lang w:val="uk-UA"/>
              </w:rPr>
            </w:pPr>
            <w:r>
              <w:rPr>
                <w:b/>
                <w:szCs w:val="28"/>
                <w:lang w:val="uk-UA"/>
              </w:rPr>
              <w:t xml:space="preserve">Характеристики мережі</w:t>
            </w:r>
            <w:r/>
          </w:p>
        </w:tc>
        <w:tc>
          <w:tcPr>
            <w:tcW w:w="4913" w:type="dxa"/>
            <w:textDirection w:val="lrTb"/>
            <w:noWrap w:val="false"/>
          </w:tcPr>
          <w:p>
            <w:pPr>
              <w:pStyle w:val="683"/>
              <w:jc w:val="both"/>
              <w:rPr>
                <w:bCs/>
                <w:sz w:val="26"/>
                <w:szCs w:val="26"/>
                <w:lang w:val="uk-UA"/>
              </w:rPr>
            </w:pPr>
            <w:r>
              <w:rPr>
                <w:bCs/>
                <w:sz w:val="26"/>
                <w:szCs w:val="26"/>
                <w:lang w:val="uk-UA"/>
              </w:rPr>
              <w:t xml:space="preserve">380 </w:t>
            </w:r>
            <w:r>
              <w:rPr>
                <w:bCs/>
                <w:sz w:val="26"/>
                <w:szCs w:val="26"/>
                <w:lang w:val="en-US"/>
              </w:rPr>
              <w:t xml:space="preserve">V. 50 Hz</w:t>
            </w:r>
            <w:r/>
          </w:p>
        </w:tc>
      </w:tr>
      <w:tr>
        <w:trPr/>
        <w:tc>
          <w:tcPr>
            <w:tcW w:w="4942" w:type="dxa"/>
            <w:textDirection w:val="lrTb"/>
            <w:noWrap w:val="false"/>
          </w:tcPr>
          <w:p>
            <w:pPr>
              <w:pStyle w:val="683"/>
              <w:jc w:val="both"/>
              <w:rPr>
                <w:b/>
                <w:szCs w:val="28"/>
                <w:lang w:val="en-US"/>
              </w:rPr>
            </w:pPr>
            <w:r>
              <w:rPr>
                <w:b/>
                <w:szCs w:val="28"/>
                <w:lang w:val="uk-UA"/>
              </w:rPr>
              <w:t xml:space="preserve">Автоматичне визволення пасажирів при вимкнені живлення, </w:t>
            </w:r>
            <w:r>
              <w:rPr>
                <w:bCs/>
                <w:szCs w:val="28"/>
                <w:lang w:val="en-US"/>
              </w:rPr>
              <w:t xml:space="preserve">black out</w:t>
            </w:r>
            <w:r/>
          </w:p>
        </w:tc>
        <w:tc>
          <w:tcPr>
            <w:tcW w:w="4913" w:type="dxa"/>
            <w:textDirection w:val="lrTb"/>
            <w:noWrap w:val="false"/>
          </w:tcPr>
          <w:p>
            <w:pPr>
              <w:pStyle w:val="683"/>
              <w:jc w:val="both"/>
              <w:rPr>
                <w:bCs/>
                <w:sz w:val="26"/>
                <w:szCs w:val="26"/>
                <w:lang w:val="uk-UA"/>
              </w:rPr>
            </w:pPr>
            <w:r>
              <w:rPr>
                <w:bCs/>
                <w:sz w:val="26"/>
                <w:szCs w:val="26"/>
                <w:lang w:val="uk-UA"/>
              </w:rPr>
              <w:t xml:space="preserve">Так</w:t>
            </w:r>
            <w:r/>
          </w:p>
        </w:tc>
      </w:tr>
      <w:tr>
        <w:trPr/>
        <w:tc>
          <w:tcPr>
            <w:tcW w:w="4942" w:type="dxa"/>
            <w:textDirection w:val="lrTb"/>
            <w:noWrap w:val="false"/>
          </w:tcPr>
          <w:p>
            <w:pPr>
              <w:pStyle w:val="683"/>
              <w:jc w:val="both"/>
              <w:rPr>
                <w:b/>
                <w:szCs w:val="28"/>
                <w:lang w:val="uk-UA"/>
              </w:rPr>
            </w:pPr>
            <w:r>
              <w:rPr>
                <w:b/>
                <w:szCs w:val="28"/>
                <w:lang w:val="uk-UA"/>
              </w:rPr>
              <w:t xml:space="preserve">Аварійне освітлення кабіни</w:t>
            </w:r>
            <w:r/>
          </w:p>
        </w:tc>
        <w:tc>
          <w:tcPr>
            <w:tcW w:w="4913" w:type="dxa"/>
            <w:textDirection w:val="lrTb"/>
            <w:noWrap w:val="false"/>
          </w:tcPr>
          <w:p>
            <w:pPr>
              <w:pStyle w:val="683"/>
              <w:jc w:val="both"/>
              <w:rPr>
                <w:bCs/>
                <w:sz w:val="26"/>
                <w:szCs w:val="26"/>
                <w:lang w:val="uk-UA"/>
              </w:rPr>
            </w:pPr>
            <w:r>
              <w:rPr>
                <w:bCs/>
                <w:sz w:val="26"/>
                <w:szCs w:val="26"/>
                <w:lang w:val="uk-UA"/>
              </w:rPr>
              <w:t xml:space="preserve">Так</w:t>
            </w:r>
            <w:r/>
          </w:p>
        </w:tc>
      </w:tr>
      <w:tr>
        <w:trPr/>
        <w:tc>
          <w:tcPr>
            <w:tcW w:w="4942" w:type="dxa"/>
            <w:textDirection w:val="lrTb"/>
            <w:noWrap w:val="false"/>
          </w:tcPr>
          <w:p>
            <w:pPr>
              <w:pStyle w:val="683"/>
              <w:jc w:val="both"/>
              <w:rPr>
                <w:b/>
                <w:szCs w:val="28"/>
                <w:lang w:val="uk-UA"/>
              </w:rPr>
            </w:pPr>
            <w:r>
              <w:rPr>
                <w:b/>
                <w:szCs w:val="28"/>
                <w:lang w:val="uk-UA"/>
              </w:rPr>
              <w:t xml:space="preserve">Вентилятор</w:t>
            </w:r>
            <w:r/>
          </w:p>
        </w:tc>
        <w:tc>
          <w:tcPr>
            <w:tcW w:w="4913" w:type="dxa"/>
            <w:textDirection w:val="lrTb"/>
            <w:noWrap w:val="false"/>
          </w:tcPr>
          <w:p>
            <w:pPr>
              <w:pStyle w:val="683"/>
              <w:jc w:val="both"/>
              <w:rPr>
                <w:bCs/>
                <w:sz w:val="26"/>
                <w:szCs w:val="26"/>
                <w:lang w:val="uk-UA"/>
              </w:rPr>
            </w:pPr>
            <w:r>
              <w:rPr>
                <w:bCs/>
                <w:sz w:val="26"/>
                <w:szCs w:val="26"/>
                <w:lang w:val="uk-UA"/>
              </w:rPr>
              <w:t xml:space="preserve">Так</w:t>
            </w:r>
            <w:r/>
          </w:p>
        </w:tc>
      </w:tr>
      <w:tr>
        <w:trPr/>
        <w:tc>
          <w:tcPr>
            <w:tcW w:w="4942" w:type="dxa"/>
            <w:textDirection w:val="lrTb"/>
            <w:noWrap w:val="false"/>
          </w:tcPr>
          <w:p>
            <w:pPr>
              <w:pStyle w:val="683"/>
              <w:jc w:val="both"/>
              <w:rPr>
                <w:b/>
                <w:szCs w:val="28"/>
                <w:lang w:val="uk-UA"/>
              </w:rPr>
            </w:pPr>
            <w:r>
              <w:rPr>
                <w:b/>
                <w:szCs w:val="28"/>
                <w:lang w:val="uk-UA"/>
              </w:rPr>
              <w:t xml:space="preserve">Освітлення шахти</w:t>
            </w:r>
            <w:r/>
          </w:p>
        </w:tc>
        <w:tc>
          <w:tcPr>
            <w:tcW w:w="4913" w:type="dxa"/>
            <w:textDirection w:val="lrTb"/>
            <w:noWrap w:val="false"/>
          </w:tcPr>
          <w:p>
            <w:pPr>
              <w:pStyle w:val="683"/>
              <w:jc w:val="both"/>
              <w:rPr>
                <w:bCs/>
                <w:sz w:val="26"/>
                <w:szCs w:val="26"/>
                <w:lang w:val="uk-UA"/>
              </w:rPr>
            </w:pPr>
            <w:r>
              <w:rPr>
                <w:bCs/>
                <w:sz w:val="26"/>
                <w:szCs w:val="26"/>
                <w:lang w:val="uk-UA"/>
              </w:rPr>
              <w:t xml:space="preserve">Світлодіодне, на кожному поверсі</w:t>
            </w:r>
            <w:r/>
          </w:p>
        </w:tc>
      </w:tr>
      <w:tr>
        <w:trPr/>
        <w:tc>
          <w:tcPr>
            <w:tcW w:w="4942" w:type="dxa"/>
            <w:textDirection w:val="lrTb"/>
            <w:noWrap w:val="false"/>
          </w:tcPr>
          <w:p>
            <w:pPr>
              <w:pStyle w:val="683"/>
              <w:jc w:val="both"/>
              <w:rPr>
                <w:b/>
                <w:szCs w:val="28"/>
                <w:lang w:val="uk-UA"/>
              </w:rPr>
            </w:pPr>
            <w:r>
              <w:rPr>
                <w:b/>
                <w:szCs w:val="28"/>
                <w:lang w:val="uk-UA"/>
              </w:rPr>
              <w:t xml:space="preserve">Драбина в приямок</w:t>
            </w:r>
            <w:r/>
          </w:p>
        </w:tc>
        <w:tc>
          <w:tcPr>
            <w:tcW w:w="4913" w:type="dxa"/>
            <w:textDirection w:val="lrTb"/>
            <w:noWrap w:val="false"/>
          </w:tcPr>
          <w:p>
            <w:pPr>
              <w:pStyle w:val="683"/>
              <w:jc w:val="both"/>
              <w:rPr>
                <w:bCs/>
                <w:sz w:val="26"/>
                <w:szCs w:val="26"/>
                <w:lang w:val="uk-UA"/>
              </w:rPr>
            </w:pPr>
            <w:r>
              <w:rPr>
                <w:bCs/>
                <w:sz w:val="26"/>
                <w:szCs w:val="26"/>
                <w:lang w:val="uk-UA"/>
              </w:rPr>
              <w:t xml:space="preserve">Так</w:t>
            </w:r>
            <w:r/>
          </w:p>
        </w:tc>
      </w:tr>
    </w:tbl>
    <w:p>
      <w:pPr>
        <w:rPr>
          <w:rFonts w:ascii="Times New Roman" w:hAnsi="Times New Roman"/>
          <w:b/>
          <w:highlight w:val="yellow"/>
          <w:lang w:eastAsia="uk-UA"/>
        </w:rPr>
      </w:pPr>
      <w:r>
        <w:rPr>
          <w:rFonts w:ascii="Times New Roman" w:hAnsi="Times New Roman"/>
          <w:b/>
          <w:highlight w:val="yellow"/>
          <w:lang w:eastAsia="uk-UA"/>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Замовником. </w:t>
      </w:r>
      <w:r>
        <w:rPr>
          <w:rFonts w:ascii="Times New Roman" w:hAnsi="Times New Roman" w:cs="Times New Roman"/>
          <w:bCs/>
          <w:color w:val="000000" w:themeColor="text1"/>
          <w:sz w:val="24"/>
          <w:szCs w:val="24"/>
        </w:rPr>
        <w:t xml:space="preserve">У разі, якщо учасник пропонує «аналог», замість Товару,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pStyle w:val="675"/>
        <w:ind w:firstLine="567"/>
        <w:jc w:val="both"/>
        <w:spacing w:after="0" w:line="240" w:lineRule="auto"/>
        <w:rPr>
          <w:color w:val="000000" w:themeColor="text1"/>
          <w:shd w:val="clear" w:color="auto" w:fill="ffffff"/>
        </w:rPr>
      </w:pPr>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обладнання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у відповідно до діючих нормативно-правових документів та за рахунок Учасника.</w:t>
      </w:r>
      <w:r/>
    </w:p>
    <w:p>
      <w:pPr>
        <w:pStyle w:val="685"/>
        <w:ind w:firstLine="567"/>
        <w:jc w:val="both"/>
        <w:rPr>
          <w:rFonts w:eastAsia="Times New Roman"/>
          <w:i/>
          <w:iCs/>
          <w:color w:val="auto"/>
          <w:lang w:eastAsia="ru-RU"/>
        </w:rPr>
      </w:pPr>
      <w:r>
        <w:t xml:space="preserve">6. </w:t>
      </w:r>
      <w:bookmarkStart w:id="1" w:name="_Hlk131682113"/>
      <w:r>
        <w:rPr>
          <w:rFonts w:eastAsia="Times New Roman"/>
          <w:color w:val="auto"/>
          <w:lang w:eastAsia="ru-RU"/>
        </w:rPr>
        <w:t xml:space="preserve">Вартість встановлення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w:t>
      </w:r>
      <w:r>
        <w:t xml:space="preserve">доставка, розвантаження, монтаж ліфта, </w:t>
      </w:r>
      <w:r>
        <w:t xml:space="preserve">пуско</w:t>
      </w:r>
      <w:r>
        <w:t xml:space="preserve">-налагодження, GSM диспетчеризація,  проведення первинного технічного огляду, кінцева перевірка та постановка на облік</w:t>
      </w:r>
      <w:r>
        <w:rPr>
          <w:rFonts w:eastAsia="Times New Roman"/>
          <w:color w:val="auto"/>
          <w:lang w:eastAsia="ru-RU"/>
        </w:rPr>
        <w:t xml:space="preserve">.</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Учаснику необхідно передбачити послуги зі встановлення ліфта та супутнього обладнання у складі поданої пропозиції.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Всі необхідні витратні матеріали, що необхідні для встановлення обладнання та витрати на них,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де необхідно встановити обладнання).</w:t>
      </w:r>
      <w:r/>
    </w:p>
    <w:p>
      <w:pPr>
        <w:ind w:right="-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2 585 600,00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 мільйони п’ятсот вісімдесят п’ять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шістсот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7"/>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0">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num w:numId="1">
    <w:abstractNumId w:val="8"/>
  </w:num>
  <w:num w:numId="2">
    <w:abstractNumId w:val="6"/>
  </w:num>
  <w:num w:numId="3">
    <w:abstractNumId w:val="2"/>
  </w:num>
  <w:num w:numId="4">
    <w:abstractNumId w:val="7"/>
  </w:num>
  <w:num w:numId="5">
    <w:abstractNumId w:val="1"/>
  </w:num>
  <w:num w:numId="6">
    <w:abstractNumId w:val="9"/>
  </w:num>
  <w:num w:numId="7">
    <w:abstractNumId w:val="3"/>
  </w:num>
  <w:num w:numId="8">
    <w:abstractNumId w:val="10"/>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7"/>
    <w:next w:val="66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68"/>
    <w:link w:val="13"/>
    <w:uiPriority w:val="9"/>
    <w:rPr>
      <w:rFonts w:ascii="Arial" w:hAnsi="Arial" w:eastAsia="Arial" w:cs="Arial"/>
      <w:sz w:val="40"/>
      <w:szCs w:val="40"/>
    </w:rPr>
  </w:style>
  <w:style w:type="paragraph" w:styleId="15">
    <w:name w:val="Heading 2"/>
    <w:basedOn w:val="667"/>
    <w:next w:val="66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8"/>
    <w:link w:val="15"/>
    <w:uiPriority w:val="9"/>
    <w:rPr>
      <w:rFonts w:ascii="Arial" w:hAnsi="Arial" w:eastAsia="Arial" w:cs="Arial"/>
      <w:sz w:val="34"/>
    </w:rPr>
  </w:style>
  <w:style w:type="paragraph" w:styleId="17">
    <w:name w:val="Heading 3"/>
    <w:basedOn w:val="667"/>
    <w:next w:val="66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8"/>
    <w:link w:val="17"/>
    <w:uiPriority w:val="9"/>
    <w:rPr>
      <w:rFonts w:ascii="Arial" w:hAnsi="Arial" w:eastAsia="Arial" w:cs="Arial"/>
      <w:sz w:val="30"/>
      <w:szCs w:val="30"/>
    </w:rPr>
  </w:style>
  <w:style w:type="paragraph" w:styleId="19">
    <w:name w:val="Heading 4"/>
    <w:basedOn w:val="667"/>
    <w:next w:val="66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8"/>
    <w:link w:val="19"/>
    <w:uiPriority w:val="9"/>
    <w:rPr>
      <w:rFonts w:ascii="Arial" w:hAnsi="Arial" w:eastAsia="Arial" w:cs="Arial"/>
      <w:b/>
      <w:bCs/>
      <w:sz w:val="26"/>
      <w:szCs w:val="26"/>
    </w:rPr>
  </w:style>
  <w:style w:type="paragraph" w:styleId="21">
    <w:name w:val="Heading 5"/>
    <w:basedOn w:val="667"/>
    <w:next w:val="66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8"/>
    <w:link w:val="21"/>
    <w:uiPriority w:val="9"/>
    <w:rPr>
      <w:rFonts w:ascii="Arial" w:hAnsi="Arial" w:eastAsia="Arial" w:cs="Arial"/>
      <w:b/>
      <w:bCs/>
      <w:sz w:val="24"/>
      <w:szCs w:val="24"/>
    </w:rPr>
  </w:style>
  <w:style w:type="paragraph" w:styleId="23">
    <w:name w:val="Heading 6"/>
    <w:basedOn w:val="667"/>
    <w:next w:val="66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8"/>
    <w:link w:val="23"/>
    <w:uiPriority w:val="9"/>
    <w:rPr>
      <w:rFonts w:ascii="Arial" w:hAnsi="Arial" w:eastAsia="Arial" w:cs="Arial"/>
      <w:b/>
      <w:bCs/>
      <w:sz w:val="22"/>
      <w:szCs w:val="22"/>
    </w:rPr>
  </w:style>
  <w:style w:type="paragraph" w:styleId="25">
    <w:name w:val="Heading 7"/>
    <w:basedOn w:val="667"/>
    <w:next w:val="66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8"/>
    <w:link w:val="25"/>
    <w:uiPriority w:val="9"/>
    <w:rPr>
      <w:rFonts w:ascii="Arial" w:hAnsi="Arial" w:eastAsia="Arial" w:cs="Arial"/>
      <w:b/>
      <w:bCs/>
      <w:i/>
      <w:iCs/>
      <w:sz w:val="22"/>
      <w:szCs w:val="22"/>
    </w:rPr>
  </w:style>
  <w:style w:type="paragraph" w:styleId="27">
    <w:name w:val="Heading 8"/>
    <w:basedOn w:val="667"/>
    <w:next w:val="66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8"/>
    <w:link w:val="27"/>
    <w:uiPriority w:val="9"/>
    <w:rPr>
      <w:rFonts w:ascii="Arial" w:hAnsi="Arial" w:eastAsia="Arial" w:cs="Arial"/>
      <w:i/>
      <w:iCs/>
      <w:sz w:val="22"/>
      <w:szCs w:val="22"/>
    </w:rPr>
  </w:style>
  <w:style w:type="paragraph" w:styleId="29">
    <w:name w:val="Heading 9"/>
    <w:basedOn w:val="667"/>
    <w:next w:val="66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8"/>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67"/>
    <w:next w:val="667"/>
    <w:link w:val="35"/>
    <w:uiPriority w:val="10"/>
    <w:qFormat/>
    <w:pPr>
      <w:contextualSpacing/>
      <w:spacing w:before="300" w:after="200"/>
    </w:pPr>
    <w:rPr>
      <w:sz w:val="48"/>
      <w:szCs w:val="48"/>
    </w:rPr>
  </w:style>
  <w:style w:type="character" w:styleId="35">
    <w:name w:val="Title Char"/>
    <w:basedOn w:val="668"/>
    <w:link w:val="34"/>
    <w:uiPriority w:val="10"/>
    <w:rPr>
      <w:sz w:val="48"/>
      <w:szCs w:val="48"/>
    </w:rPr>
  </w:style>
  <w:style w:type="paragraph" w:styleId="36">
    <w:name w:val="Subtitle"/>
    <w:basedOn w:val="667"/>
    <w:next w:val="667"/>
    <w:link w:val="37"/>
    <w:uiPriority w:val="11"/>
    <w:qFormat/>
    <w:pPr>
      <w:spacing w:before="200" w:after="200"/>
    </w:pPr>
    <w:rPr>
      <w:sz w:val="24"/>
      <w:szCs w:val="24"/>
    </w:rPr>
  </w:style>
  <w:style w:type="character" w:styleId="37">
    <w:name w:val="Subtitle Char"/>
    <w:basedOn w:val="668"/>
    <w:link w:val="36"/>
    <w:uiPriority w:val="11"/>
    <w:rPr>
      <w:sz w:val="24"/>
      <w:szCs w:val="24"/>
    </w:rPr>
  </w:style>
  <w:style w:type="paragraph" w:styleId="38">
    <w:name w:val="Quote"/>
    <w:basedOn w:val="667"/>
    <w:next w:val="667"/>
    <w:link w:val="39"/>
    <w:uiPriority w:val="29"/>
    <w:qFormat/>
    <w:pPr>
      <w:ind w:left="720" w:right="720"/>
    </w:pPr>
    <w:rPr>
      <w:i/>
    </w:rPr>
  </w:style>
  <w:style w:type="character" w:styleId="39">
    <w:name w:val="Quote Char"/>
    <w:link w:val="38"/>
    <w:uiPriority w:val="29"/>
    <w:rPr>
      <w:i/>
    </w:rPr>
  </w:style>
  <w:style w:type="paragraph" w:styleId="40">
    <w:name w:val="Intense Quote"/>
    <w:basedOn w:val="667"/>
    <w:next w:val="66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67"/>
    <w:link w:val="43"/>
    <w:uiPriority w:val="99"/>
    <w:unhideWhenUsed/>
    <w:pPr>
      <w:spacing w:after="0" w:line="240" w:lineRule="auto"/>
      <w:tabs>
        <w:tab w:val="center" w:pos="7143" w:leader="none"/>
        <w:tab w:val="right" w:pos="14287" w:leader="none"/>
      </w:tabs>
    </w:pPr>
  </w:style>
  <w:style w:type="character" w:styleId="43">
    <w:name w:val="Header Char"/>
    <w:basedOn w:val="668"/>
    <w:link w:val="42"/>
    <w:uiPriority w:val="99"/>
  </w:style>
  <w:style w:type="character" w:styleId="45">
    <w:name w:val="Footer Char"/>
    <w:basedOn w:val="668"/>
    <w:link w:val="677"/>
    <w:uiPriority w:val="99"/>
  </w:style>
  <w:style w:type="paragraph" w:styleId="46">
    <w:name w:val="Caption"/>
    <w:basedOn w:val="667"/>
    <w:next w:val="667"/>
    <w:uiPriority w:val="35"/>
    <w:semiHidden/>
    <w:unhideWhenUsed/>
    <w:qFormat/>
    <w:pPr>
      <w:spacing w:line="276" w:lineRule="auto"/>
    </w:pPr>
    <w:rPr>
      <w:b/>
      <w:bCs/>
      <w:color w:val="4f81bd" w:themeColor="accent1"/>
      <w:sz w:val="18"/>
      <w:szCs w:val="18"/>
    </w:rPr>
  </w:style>
  <w:style w:type="character" w:styleId="47">
    <w:name w:val="Caption Char"/>
    <w:basedOn w:val="46"/>
    <w:link w:val="677"/>
    <w:uiPriority w:val="99"/>
  </w:style>
  <w:style w:type="table" w:styleId="49">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6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68"/>
    <w:uiPriority w:val="99"/>
    <w:unhideWhenUsed/>
    <w:rPr>
      <w:vertAlign w:val="superscript"/>
    </w:rPr>
  </w:style>
  <w:style w:type="paragraph" w:styleId="178">
    <w:name w:val="endnote text"/>
    <w:basedOn w:val="66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8"/>
    <w:uiPriority w:val="99"/>
    <w:semiHidden/>
    <w:unhideWhenUsed/>
    <w:rPr>
      <w:vertAlign w:val="superscript"/>
    </w:rPr>
  </w:style>
  <w:style w:type="paragraph" w:styleId="181">
    <w:name w:val="toc 1"/>
    <w:basedOn w:val="667"/>
    <w:next w:val="667"/>
    <w:uiPriority w:val="39"/>
    <w:unhideWhenUsed/>
    <w:pPr>
      <w:ind w:left="0" w:right="0" w:firstLine="0"/>
      <w:spacing w:after="57"/>
    </w:pPr>
  </w:style>
  <w:style w:type="paragraph" w:styleId="182">
    <w:name w:val="toc 2"/>
    <w:basedOn w:val="667"/>
    <w:next w:val="667"/>
    <w:uiPriority w:val="39"/>
    <w:unhideWhenUsed/>
    <w:pPr>
      <w:ind w:left="283" w:right="0" w:firstLine="0"/>
      <w:spacing w:after="57"/>
    </w:pPr>
  </w:style>
  <w:style w:type="paragraph" w:styleId="183">
    <w:name w:val="toc 3"/>
    <w:basedOn w:val="667"/>
    <w:next w:val="667"/>
    <w:uiPriority w:val="39"/>
    <w:unhideWhenUsed/>
    <w:pPr>
      <w:ind w:left="567" w:right="0" w:firstLine="0"/>
      <w:spacing w:after="57"/>
    </w:pPr>
  </w:style>
  <w:style w:type="paragraph" w:styleId="184">
    <w:name w:val="toc 4"/>
    <w:basedOn w:val="667"/>
    <w:next w:val="667"/>
    <w:uiPriority w:val="39"/>
    <w:unhideWhenUsed/>
    <w:pPr>
      <w:ind w:left="850" w:right="0" w:firstLine="0"/>
      <w:spacing w:after="57"/>
    </w:pPr>
  </w:style>
  <w:style w:type="paragraph" w:styleId="185">
    <w:name w:val="toc 5"/>
    <w:basedOn w:val="667"/>
    <w:next w:val="667"/>
    <w:uiPriority w:val="39"/>
    <w:unhideWhenUsed/>
    <w:pPr>
      <w:ind w:left="1134" w:right="0" w:firstLine="0"/>
      <w:spacing w:after="57"/>
    </w:pPr>
  </w:style>
  <w:style w:type="paragraph" w:styleId="186">
    <w:name w:val="toc 6"/>
    <w:basedOn w:val="667"/>
    <w:next w:val="667"/>
    <w:uiPriority w:val="39"/>
    <w:unhideWhenUsed/>
    <w:pPr>
      <w:ind w:left="1417" w:right="0" w:firstLine="0"/>
      <w:spacing w:after="57"/>
    </w:pPr>
  </w:style>
  <w:style w:type="paragraph" w:styleId="187">
    <w:name w:val="toc 7"/>
    <w:basedOn w:val="667"/>
    <w:next w:val="667"/>
    <w:uiPriority w:val="39"/>
    <w:unhideWhenUsed/>
    <w:pPr>
      <w:ind w:left="1701" w:right="0" w:firstLine="0"/>
      <w:spacing w:after="57"/>
    </w:pPr>
  </w:style>
  <w:style w:type="paragraph" w:styleId="188">
    <w:name w:val="toc 8"/>
    <w:basedOn w:val="667"/>
    <w:next w:val="667"/>
    <w:uiPriority w:val="39"/>
    <w:unhideWhenUsed/>
    <w:pPr>
      <w:ind w:left="1984" w:right="0" w:firstLine="0"/>
      <w:spacing w:after="57"/>
    </w:pPr>
  </w:style>
  <w:style w:type="paragraph" w:styleId="189">
    <w:name w:val="toc 9"/>
    <w:basedOn w:val="667"/>
    <w:next w:val="66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7"/>
    <w:next w:val="667"/>
    <w:uiPriority w:val="99"/>
    <w:unhideWhenUsed/>
    <w:pPr>
      <w:spacing w:after="0" w:afterAutospacing="0"/>
    </w:pPr>
  </w:style>
  <w:style w:type="paragraph" w:styleId="667" w:default="1">
    <w:name w:val="Normal"/>
    <w:qFormat/>
    <w:rPr>
      <w:lang w:val="uk-UA"/>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name w:val="List Paragraph"/>
    <w:basedOn w:val="667"/>
    <w:link w:val="672"/>
    <w:uiPriority w:val="34"/>
    <w:qFormat/>
    <w:pPr>
      <w:contextualSpacing/>
      <w:ind w:left="720"/>
      <w:spacing w:after="200" w:line="276" w:lineRule="auto"/>
    </w:pPr>
    <w:rPr>
      <w:rFonts w:ascii="Calibri" w:hAnsi="Calibri" w:eastAsia="Calibri" w:cs="Calibri"/>
      <w:lang w:val="ru-RU" w:eastAsia="zh-CN"/>
    </w:rPr>
  </w:style>
  <w:style w:type="character" w:styleId="672" w:customStyle="1">
    <w:name w:val="Абзац списку Знак"/>
    <w:link w:val="671"/>
    <w:uiPriority w:val="34"/>
    <w:rPr>
      <w:rFonts w:ascii="Calibri" w:hAnsi="Calibri" w:eastAsia="Calibri" w:cs="Calibri"/>
      <w:lang w:eastAsia="zh-CN"/>
    </w:rPr>
  </w:style>
  <w:style w:type="table" w:styleId="673">
    <w:name w:val="Table Grid"/>
    <w:basedOn w:val="669"/>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4" w:customStyle="1">
    <w:name w:val="Сетка таблицы2"/>
    <w:basedOn w:val="669"/>
    <w:next w:val="673"/>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5">
    <w:name w:val="Normal (Web)"/>
    <w:basedOn w:val="667"/>
    <w:link w:val="682"/>
    <w:unhideWhenUsed/>
    <w:qFormat/>
    <w:rPr>
      <w:rFonts w:ascii="Times New Roman" w:hAnsi="Times New Roman" w:cs="Times New Roman"/>
      <w:sz w:val="24"/>
      <w:szCs w:val="24"/>
    </w:rPr>
  </w:style>
  <w:style w:type="table" w:styleId="676" w:customStyle="1">
    <w:name w:val="Сетка таблицы1"/>
    <w:basedOn w:val="669"/>
    <w:next w:val="673"/>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7">
    <w:name w:val="Footer"/>
    <w:basedOn w:val="667"/>
    <w:link w:val="678"/>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78" w:customStyle="1">
    <w:name w:val="Нижній колонтитул Знак"/>
    <w:basedOn w:val="668"/>
    <w:link w:val="677"/>
    <w:uiPriority w:val="99"/>
    <w:rPr>
      <w:rFonts w:ascii="Calibri" w:hAnsi="Calibri" w:eastAsia="Calibri" w:cs="Calibri"/>
      <w:lang w:eastAsia="zh-CN"/>
    </w:rPr>
  </w:style>
  <w:style w:type="paragraph" w:styleId="679"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80">
    <w:name w:val="Hyperlink"/>
    <w:basedOn w:val="668"/>
    <w:uiPriority w:val="99"/>
    <w:unhideWhenUsed/>
    <w:rPr>
      <w:color w:val="0563c1" w:themeColor="hyperlink"/>
      <w:u w:val="single"/>
    </w:rPr>
  </w:style>
  <w:style w:type="character" w:styleId="681" w:customStyle="1">
    <w:name w:val="xfm_93972720"/>
    <w:basedOn w:val="668"/>
  </w:style>
  <w:style w:type="character" w:styleId="682" w:customStyle="1">
    <w:name w:val="Звичайний (веб) Знак"/>
    <w:link w:val="675"/>
    <w:qFormat/>
    <w:rPr>
      <w:rFonts w:ascii="Times New Roman" w:hAnsi="Times New Roman" w:cs="Times New Roman"/>
      <w:sz w:val="24"/>
      <w:szCs w:val="24"/>
      <w:lang w:val="uk-UA"/>
    </w:rPr>
  </w:style>
  <w:style w:type="paragraph" w:styleId="683">
    <w:name w:val="Body Text 2"/>
    <w:basedOn w:val="667"/>
    <w:link w:val="684"/>
    <w:pPr>
      <w:spacing w:after="0" w:line="240" w:lineRule="auto"/>
    </w:pPr>
    <w:rPr>
      <w:rFonts w:ascii="Times New Roman" w:hAnsi="Times New Roman" w:eastAsia="Times New Roman" w:cs="Times New Roman"/>
      <w:sz w:val="28"/>
      <w:szCs w:val="20"/>
      <w:lang w:val="ru-RU" w:eastAsia="ru-RU"/>
    </w:rPr>
  </w:style>
  <w:style w:type="character" w:styleId="684" w:customStyle="1">
    <w:name w:val="Основний текст 2 Знак"/>
    <w:basedOn w:val="668"/>
    <w:link w:val="683"/>
    <w:rPr>
      <w:rFonts w:ascii="Times New Roman" w:hAnsi="Times New Roman" w:eastAsia="Times New Roman" w:cs="Times New Roman"/>
      <w:sz w:val="28"/>
      <w:szCs w:val="20"/>
      <w:lang w:eastAsia="ru-RU"/>
    </w:rPr>
  </w:style>
  <w:style w:type="paragraph" w:styleId="685" w:customStyle="1">
    <w:name w:val="Default"/>
    <w:pPr>
      <w:spacing w:after="0" w:line="240" w:lineRule="auto"/>
    </w:pPr>
    <w:rPr>
      <w:rFonts w:ascii="Times New Roman" w:hAnsi="Times New Roman" w:eastAsia="Calibri" w:cs="Times New Roman"/>
      <w:color w:val="000000"/>
      <w:sz w:val="24"/>
      <w:szCs w:val="24"/>
      <w:lang w:val="uk-UA" w:eastAsia="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50</cp:revision>
  <dcterms:created xsi:type="dcterms:W3CDTF">2022-11-01T12:47:00Z</dcterms:created>
  <dcterms:modified xsi:type="dcterms:W3CDTF">2023-04-11T11:24:49Z</dcterms:modified>
</cp:coreProperties>
</file>