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BB5AF67" w:rsidR="00E1484E" w:rsidRPr="00CD3DA5" w:rsidRDefault="00245020" w:rsidP="00E1484E">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D3DA5" w:rsidRPr="00CD3DA5">
        <w:rPr>
          <w:b w:val="0"/>
          <w:bCs w:val="0"/>
          <w:sz w:val="24"/>
          <w:szCs w:val="24"/>
        </w:rPr>
        <w:t>Виконання робіт з розробки проєктної документації за об'єктом: «Реконструкція системи внутрішнього опалення будівлі Гараж майстерня, бойлерна, літ «Б» за адресою: м. Київ, вул. Володимира Сікевича, 28» (стадія «Робочий проєкт») за кодом CPV за ЄЗС ДК 021:2015:71320000-7 «Послуги з інженерного проектування»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A2DF7E7"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CD3DA5">
        <w:rPr>
          <w:rFonts w:ascii="Times New Roman" w:hAnsi="Times New Roman" w:cs="Times New Roman"/>
          <w:sz w:val="24"/>
          <w:szCs w:val="24"/>
        </w:rPr>
        <w:t>26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CD3DA5">
        <w:rPr>
          <w:rFonts w:ascii="Times New Roman" w:hAnsi="Times New Roman" w:cs="Times New Roman"/>
          <w:sz w:val="24"/>
          <w:szCs w:val="24"/>
        </w:rPr>
        <w:t>6387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22997B65"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CD3DA5" w:rsidRPr="00CD3DA5">
        <w:rPr>
          <w:b w:val="0"/>
          <w:bCs w:val="0"/>
          <w:sz w:val="24"/>
          <w:szCs w:val="24"/>
        </w:rPr>
        <w:t>Виконання робіт з розробки проєктної документації за об'єктом: «Реконструкція системи внутрішнього опалення будівлі Гараж майстерня, бойлерна, літ «Б» за адресою: м. Київ, вул. Володимира Сікевича, 28» (стадія «Робочий проєкт») за кодом CPV за ЄЗС ДК 021:2015:71320000-7 «Послуги з інженерного проектування»</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74410F1F" w14:textId="77777777" w:rsidR="00CD3DA5" w:rsidRPr="00C87DF4" w:rsidRDefault="00CD3DA5" w:rsidP="00CD3DA5">
      <w:pPr>
        <w:spacing w:after="0" w:line="240" w:lineRule="auto"/>
        <w:jc w:val="center"/>
        <w:rPr>
          <w:rFonts w:ascii="Times New Roman" w:hAnsi="Times New Roman"/>
          <w:b/>
          <w:iCs/>
          <w:spacing w:val="-4"/>
          <w:sz w:val="24"/>
          <w:szCs w:val="24"/>
          <w:lang w:eastAsia="ru-RU"/>
        </w:rPr>
      </w:pPr>
      <w:r w:rsidRPr="00C87DF4">
        <w:rPr>
          <w:rFonts w:ascii="Times New Roman" w:hAnsi="Times New Roman"/>
          <w:b/>
          <w:iCs/>
          <w:spacing w:val="-4"/>
          <w:sz w:val="24"/>
          <w:szCs w:val="24"/>
          <w:lang w:eastAsia="ru-RU"/>
        </w:rPr>
        <w:t>ЗАВДАННЯ НА ПРОЄКТУВАННЯ</w:t>
      </w:r>
    </w:p>
    <w:p w14:paraId="7EEE15B0" w14:textId="77777777" w:rsidR="00CD3DA5" w:rsidRPr="00C87DF4" w:rsidRDefault="00CD3DA5" w:rsidP="00CD3DA5">
      <w:pPr>
        <w:spacing w:after="0" w:line="240" w:lineRule="auto"/>
        <w:jc w:val="center"/>
        <w:rPr>
          <w:rFonts w:ascii="Times New Roman" w:hAnsi="Times New Roman"/>
          <w:b/>
          <w:bCs/>
          <w:sz w:val="24"/>
          <w:szCs w:val="24"/>
          <w:lang w:eastAsia="ru-RU"/>
        </w:rPr>
      </w:pPr>
      <w:r w:rsidRPr="00C87DF4">
        <w:rPr>
          <w:rFonts w:ascii="Times New Roman" w:hAnsi="Times New Roman"/>
          <w:b/>
          <w:bCs/>
          <w:sz w:val="24"/>
          <w:szCs w:val="24"/>
          <w:lang w:eastAsia="ru-RU"/>
        </w:rPr>
        <w:t xml:space="preserve">об’єкта </w:t>
      </w:r>
    </w:p>
    <w:p w14:paraId="0EC303D7" w14:textId="77777777" w:rsidR="00CD3DA5" w:rsidRPr="00C87DF4" w:rsidRDefault="00CD3DA5" w:rsidP="00CD3DA5">
      <w:pPr>
        <w:spacing w:after="0" w:line="240" w:lineRule="auto"/>
        <w:jc w:val="center"/>
        <w:rPr>
          <w:rFonts w:ascii="Times New Roman" w:hAnsi="Times New Roman"/>
          <w:b/>
          <w:bCs/>
          <w:iCs/>
          <w:spacing w:val="-4"/>
          <w:sz w:val="24"/>
          <w:szCs w:val="24"/>
          <w:lang w:eastAsia="ru-RU"/>
        </w:rPr>
      </w:pPr>
      <w:r w:rsidRPr="00C87DF4">
        <w:rPr>
          <w:rFonts w:ascii="Times New Roman" w:hAnsi="Times New Roman"/>
          <w:b/>
          <w:bCs/>
          <w:sz w:val="24"/>
          <w:szCs w:val="24"/>
          <w:lang w:eastAsia="ru-RU"/>
        </w:rPr>
        <w:t>Виконання робіт з розробки проєктної документації за об'єктом: «Реконструкція системи внутрішнього опалення будівлі Гараж майстерня, бойлерна, літ «Б» за адресою: м. Київ, вул. Володимира Сікевича, 28»</w:t>
      </w:r>
      <w:r>
        <w:rPr>
          <w:rFonts w:ascii="Times New Roman" w:hAnsi="Times New Roman"/>
          <w:b/>
          <w:bCs/>
          <w:sz w:val="24"/>
          <w:szCs w:val="24"/>
          <w:lang w:eastAsia="ru-RU"/>
        </w:rPr>
        <w:t xml:space="preserve"> </w:t>
      </w:r>
      <w:r w:rsidRPr="00C87DF4">
        <w:rPr>
          <w:rFonts w:ascii="Times New Roman" w:hAnsi="Times New Roman"/>
          <w:b/>
          <w:bCs/>
          <w:sz w:val="24"/>
          <w:szCs w:val="24"/>
          <w:lang w:eastAsia="ru-RU"/>
        </w:rPr>
        <w:t>(стадія «Робочий проєкт»)</w:t>
      </w:r>
    </w:p>
    <w:p w14:paraId="6A770F2B" w14:textId="77777777" w:rsidR="00CD3DA5" w:rsidRPr="00C87DF4" w:rsidRDefault="00CD3DA5" w:rsidP="00CD3DA5">
      <w:pPr>
        <w:spacing w:after="0" w:line="240" w:lineRule="auto"/>
        <w:ind w:firstLine="709"/>
        <w:jc w:val="center"/>
        <w:rPr>
          <w:rFonts w:ascii="Times New Roman" w:hAnsi="Times New Roman"/>
          <w:b/>
          <w:sz w:val="20"/>
          <w:szCs w:val="20"/>
          <w:lang w:eastAsia="ru-RU"/>
        </w:rPr>
      </w:pPr>
    </w:p>
    <w:p w14:paraId="748DCA12" w14:textId="77777777" w:rsidR="00CD3DA5" w:rsidRPr="00C87DF4" w:rsidRDefault="00CD3DA5" w:rsidP="00CD3DA5">
      <w:pPr>
        <w:spacing w:after="0" w:line="240" w:lineRule="auto"/>
        <w:ind w:firstLine="709"/>
        <w:jc w:val="center"/>
        <w:rPr>
          <w:rFonts w:ascii="Times New Roman" w:hAnsi="Times New Roman"/>
          <w:b/>
          <w:sz w:val="20"/>
          <w:szCs w:val="20"/>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804"/>
      </w:tblGrid>
      <w:tr w:rsidR="00CD3DA5" w:rsidRPr="00C87DF4" w14:paraId="5C379347" w14:textId="77777777" w:rsidTr="008B7FED">
        <w:tc>
          <w:tcPr>
            <w:tcW w:w="2972" w:type="dxa"/>
          </w:tcPr>
          <w:p w14:paraId="7E8E127D"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Назва та місцезнаходження об’єкта</w:t>
            </w:r>
          </w:p>
        </w:tc>
        <w:tc>
          <w:tcPr>
            <w:tcW w:w="6804" w:type="dxa"/>
          </w:tcPr>
          <w:p w14:paraId="2B6852A7" w14:textId="77777777" w:rsidR="00CD3DA5" w:rsidRPr="00C87DF4" w:rsidRDefault="00CD3DA5" w:rsidP="008B7FED">
            <w:pPr>
              <w:spacing w:after="0" w:line="240" w:lineRule="auto"/>
              <w:rPr>
                <w:rFonts w:ascii="Times New Roman" w:hAnsi="Times New Roman"/>
                <w:iCs/>
                <w:spacing w:val="-4"/>
                <w:sz w:val="24"/>
                <w:szCs w:val="24"/>
                <w:lang w:eastAsia="ru-RU"/>
              </w:rPr>
            </w:pPr>
            <w:r w:rsidRPr="00C87DF4">
              <w:rPr>
                <w:rFonts w:ascii="Times New Roman" w:hAnsi="Times New Roman"/>
                <w:iCs/>
                <w:spacing w:val="-4"/>
                <w:sz w:val="24"/>
                <w:szCs w:val="24"/>
                <w:lang w:eastAsia="ru-RU"/>
              </w:rPr>
              <w:t>Гараж майстерня, бойлерна, літ «Б» за адресою: м. Київ, вул. Володимира Сікевича, 28</w:t>
            </w:r>
          </w:p>
        </w:tc>
      </w:tr>
      <w:tr w:rsidR="00CD3DA5" w:rsidRPr="00C87DF4" w14:paraId="4623E1E8" w14:textId="77777777" w:rsidTr="008B7FED">
        <w:tc>
          <w:tcPr>
            <w:tcW w:w="2972" w:type="dxa"/>
          </w:tcPr>
          <w:p w14:paraId="5B19F6FD"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Технічні характеристики системи теплопостачання об’єкта</w:t>
            </w:r>
          </w:p>
        </w:tc>
        <w:tc>
          <w:tcPr>
            <w:tcW w:w="6804" w:type="dxa"/>
          </w:tcPr>
          <w:p w14:paraId="0E252CD8"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Проєктне теплове навантаження систем:</w:t>
            </w:r>
          </w:p>
          <w:p w14:paraId="43360148" w14:textId="77777777" w:rsidR="00CD3DA5" w:rsidRPr="00C87DF4" w:rsidRDefault="00CD3DA5" w:rsidP="00CD3DA5">
            <w:pPr>
              <w:numPr>
                <w:ilvl w:val="0"/>
                <w:numId w:val="39"/>
              </w:numPr>
              <w:spacing w:after="0" w:line="240" w:lineRule="auto"/>
              <w:contextualSpacing/>
              <w:rPr>
                <w:rFonts w:ascii="Times New Roman" w:hAnsi="Times New Roman"/>
                <w:sz w:val="24"/>
                <w:szCs w:val="24"/>
                <w:lang w:eastAsia="ru-RU"/>
              </w:rPr>
            </w:pPr>
            <w:r w:rsidRPr="00C87DF4">
              <w:rPr>
                <w:rFonts w:ascii="Times New Roman" w:hAnsi="Times New Roman"/>
                <w:sz w:val="24"/>
                <w:szCs w:val="24"/>
                <w:lang w:eastAsia="ru-RU"/>
              </w:rPr>
              <w:t xml:space="preserve">ЦО       Qцо= </w:t>
            </w:r>
            <w:r w:rsidRPr="00C87DF4">
              <w:rPr>
                <w:rFonts w:ascii="Times New Roman" w:hAnsi="Times New Roman"/>
                <w:sz w:val="24"/>
                <w:szCs w:val="24"/>
                <w:lang w:val="ru-RU" w:eastAsia="ru-RU"/>
              </w:rPr>
              <w:t>0</w:t>
            </w:r>
            <w:r w:rsidRPr="00C87DF4">
              <w:rPr>
                <w:rFonts w:ascii="Times New Roman" w:hAnsi="Times New Roman"/>
                <w:sz w:val="24"/>
                <w:szCs w:val="24"/>
                <w:lang w:eastAsia="ru-RU"/>
              </w:rPr>
              <w:t>,455</w:t>
            </w:r>
            <w:r w:rsidRPr="00C87DF4">
              <w:rPr>
                <w:rFonts w:ascii="Times New Roman" w:hAnsi="Times New Roman"/>
                <w:b/>
                <w:noProof/>
                <w:sz w:val="24"/>
                <w:szCs w:val="24"/>
                <w:lang w:eastAsia="ru-RU"/>
              </w:rPr>
              <w:t xml:space="preserve"> </w:t>
            </w:r>
            <w:r w:rsidRPr="00C87DF4">
              <w:rPr>
                <w:rFonts w:ascii="Times New Roman" w:hAnsi="Times New Roman"/>
                <w:sz w:val="24"/>
                <w:szCs w:val="24"/>
                <w:lang w:eastAsia="ru-RU"/>
              </w:rPr>
              <w:t>Гкал/год,</w:t>
            </w:r>
          </w:p>
          <w:p w14:paraId="09DC0472"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Температурний графік згідно ТУ КП «Київтеплоенерго».</w:t>
            </w:r>
          </w:p>
          <w:p w14:paraId="58A3425C"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 xml:space="preserve">Тиск в трубопроводах теплової мережі ТУ </w:t>
            </w:r>
            <w:r w:rsidRPr="00C87DF4">
              <w:rPr>
                <w:rFonts w:ascii="Times New Roman" w:hAnsi="Times New Roman"/>
                <w:sz w:val="24"/>
                <w:szCs w:val="24"/>
                <w:lang w:eastAsia="ru-RU"/>
              </w:rPr>
              <w:br/>
              <w:t>КП «Київтеплоенерго».</w:t>
            </w:r>
          </w:p>
          <w:p w14:paraId="0A359F10" w14:textId="77777777" w:rsidR="00CD3DA5" w:rsidRPr="00C87DF4" w:rsidRDefault="00CD3DA5" w:rsidP="008B7FED">
            <w:pPr>
              <w:spacing w:after="0" w:line="240" w:lineRule="auto"/>
              <w:contextualSpacing/>
              <w:rPr>
                <w:rFonts w:ascii="Times New Roman" w:hAnsi="Times New Roman"/>
                <w:sz w:val="24"/>
                <w:szCs w:val="24"/>
                <w:lang w:eastAsia="ru-RU"/>
              </w:rPr>
            </w:pPr>
          </w:p>
        </w:tc>
      </w:tr>
      <w:tr w:rsidR="00CD3DA5" w:rsidRPr="00C87DF4" w14:paraId="3953D841" w14:textId="77777777" w:rsidTr="008B7FED">
        <w:tc>
          <w:tcPr>
            <w:tcW w:w="2972" w:type="dxa"/>
          </w:tcPr>
          <w:p w14:paraId="699E6ADA"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Підстава для проєктування</w:t>
            </w:r>
          </w:p>
        </w:tc>
        <w:tc>
          <w:tcPr>
            <w:tcW w:w="6804" w:type="dxa"/>
          </w:tcPr>
          <w:p w14:paraId="7D762AC6"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Наявність потреби в покращенні системи опалення</w:t>
            </w:r>
          </w:p>
        </w:tc>
      </w:tr>
      <w:tr w:rsidR="00CD3DA5" w:rsidRPr="00C87DF4" w14:paraId="101C60F3" w14:textId="77777777" w:rsidTr="008B7FED">
        <w:tc>
          <w:tcPr>
            <w:tcW w:w="2972" w:type="dxa"/>
          </w:tcPr>
          <w:p w14:paraId="609C05DC"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Вид будівництва</w:t>
            </w:r>
          </w:p>
        </w:tc>
        <w:tc>
          <w:tcPr>
            <w:tcW w:w="6804" w:type="dxa"/>
          </w:tcPr>
          <w:p w14:paraId="5C99B75D"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Реконструкція</w:t>
            </w:r>
          </w:p>
        </w:tc>
      </w:tr>
      <w:tr w:rsidR="00CD3DA5" w:rsidRPr="00C87DF4" w14:paraId="2AE5FF5F" w14:textId="77777777" w:rsidTr="008B7FED">
        <w:tc>
          <w:tcPr>
            <w:tcW w:w="2972" w:type="dxa"/>
          </w:tcPr>
          <w:p w14:paraId="2BC00EEA"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Дані про Замовника</w:t>
            </w:r>
          </w:p>
        </w:tc>
        <w:tc>
          <w:tcPr>
            <w:tcW w:w="6804" w:type="dxa"/>
          </w:tcPr>
          <w:p w14:paraId="0208E92C"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Державна установа «Центр інфраструктури та технологій Міністерства внутрішніх справ україни»</w:t>
            </w:r>
          </w:p>
        </w:tc>
      </w:tr>
      <w:tr w:rsidR="00CD3DA5" w:rsidRPr="00C87DF4" w14:paraId="1D8DEE8E" w14:textId="77777777" w:rsidTr="008B7FED">
        <w:tc>
          <w:tcPr>
            <w:tcW w:w="2972" w:type="dxa"/>
          </w:tcPr>
          <w:p w14:paraId="5482B6CE"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Джерело фінансування</w:t>
            </w:r>
          </w:p>
        </w:tc>
        <w:tc>
          <w:tcPr>
            <w:tcW w:w="6804" w:type="dxa"/>
          </w:tcPr>
          <w:p w14:paraId="35ABDEC5"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Державний бюджет України</w:t>
            </w:r>
          </w:p>
        </w:tc>
      </w:tr>
      <w:tr w:rsidR="00CD3DA5" w:rsidRPr="00C87DF4" w14:paraId="20D2F910" w14:textId="77777777" w:rsidTr="008B7FED">
        <w:tc>
          <w:tcPr>
            <w:tcW w:w="2972" w:type="dxa"/>
          </w:tcPr>
          <w:p w14:paraId="69057FE5"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Дані про генерального проєктувальника</w:t>
            </w:r>
          </w:p>
          <w:p w14:paraId="13086AE2" w14:textId="77777777" w:rsidR="00CD3DA5" w:rsidRPr="00C87DF4" w:rsidRDefault="00CD3DA5" w:rsidP="008B7FED">
            <w:p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lastRenderedPageBreak/>
              <w:t>(Підрядника)</w:t>
            </w:r>
          </w:p>
        </w:tc>
        <w:tc>
          <w:tcPr>
            <w:tcW w:w="6804" w:type="dxa"/>
          </w:tcPr>
          <w:p w14:paraId="44F908CA"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lastRenderedPageBreak/>
              <w:t>Визначити на підставі Закону України «Про публічні закупівлі».</w:t>
            </w:r>
          </w:p>
        </w:tc>
      </w:tr>
      <w:tr w:rsidR="00CD3DA5" w:rsidRPr="00C87DF4" w14:paraId="4B662291" w14:textId="77777777" w:rsidTr="008B7FED">
        <w:tc>
          <w:tcPr>
            <w:tcW w:w="2972" w:type="dxa"/>
            <w:tcBorders>
              <w:bottom w:val="single" w:sz="4" w:space="0" w:color="auto"/>
            </w:tcBorders>
          </w:tcPr>
          <w:p w14:paraId="58A99FD2"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Стадійність проєктування з визначенням частини, що затверджується</w:t>
            </w:r>
          </w:p>
        </w:tc>
        <w:tc>
          <w:tcPr>
            <w:tcW w:w="6804" w:type="dxa"/>
          </w:tcPr>
          <w:p w14:paraId="7E65204A"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1.</w:t>
            </w:r>
            <w:r w:rsidRPr="00C87DF4">
              <w:rPr>
                <w:rFonts w:ascii="Times New Roman" w:hAnsi="Times New Roman"/>
                <w:sz w:val="24"/>
                <w:szCs w:val="24"/>
                <w:lang w:eastAsia="ru-RU"/>
              </w:rPr>
              <w:tab/>
              <w:t>Стадійність проєктування  - проєктування виконати в одну стадію – Робочий проєкт (РП) із затверджуваною частиною.</w:t>
            </w:r>
          </w:p>
          <w:p w14:paraId="0894B165"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2.</w:t>
            </w:r>
            <w:r w:rsidRPr="00C87DF4">
              <w:rPr>
                <w:rFonts w:ascii="Times New Roman" w:hAnsi="Times New Roman"/>
                <w:sz w:val="24"/>
                <w:szCs w:val="24"/>
                <w:lang w:eastAsia="ru-RU"/>
              </w:rPr>
              <w:tab/>
              <w:t>Склад проєктної документації – відповідно до ДБН А.2.2-3:2014 «Склад та зміст проектної документації на будівництво».</w:t>
            </w:r>
          </w:p>
        </w:tc>
      </w:tr>
      <w:tr w:rsidR="00CD3DA5" w:rsidRPr="00C87DF4" w14:paraId="00B401D2" w14:textId="77777777" w:rsidTr="008B7FED">
        <w:tc>
          <w:tcPr>
            <w:tcW w:w="2972" w:type="dxa"/>
            <w:tcBorders>
              <w:top w:val="single" w:sz="4" w:space="0" w:color="auto"/>
            </w:tcBorders>
          </w:tcPr>
          <w:p w14:paraId="2848FB54"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Інженерні вишукування</w:t>
            </w:r>
          </w:p>
        </w:tc>
        <w:tc>
          <w:tcPr>
            <w:tcW w:w="6804" w:type="dxa"/>
          </w:tcPr>
          <w:p w14:paraId="12DE9983" w14:textId="77777777" w:rsidR="00CD3DA5" w:rsidRPr="00C87DF4" w:rsidRDefault="00CD3DA5" w:rsidP="008B7FED">
            <w:pPr>
              <w:spacing w:after="0" w:line="240" w:lineRule="auto"/>
              <w:jc w:val="both"/>
              <w:rPr>
                <w:rFonts w:ascii="Times New Roman" w:hAnsi="Times New Roman"/>
                <w:sz w:val="24"/>
                <w:szCs w:val="24"/>
                <w:lang w:eastAsia="ru-RU"/>
              </w:rPr>
            </w:pPr>
            <w:r w:rsidRPr="00C87DF4">
              <w:rPr>
                <w:rFonts w:ascii="Times New Roman" w:hAnsi="Times New Roman"/>
                <w:sz w:val="24"/>
                <w:szCs w:val="24"/>
                <w:lang w:eastAsia="ru-RU"/>
              </w:rPr>
              <w:t>Обстеження та вишукування в обсягах, які необхідні для проєктування об’єкта – виконує Підрядник.</w:t>
            </w:r>
          </w:p>
        </w:tc>
      </w:tr>
      <w:tr w:rsidR="00CD3DA5" w:rsidRPr="00C87DF4" w14:paraId="361071B6" w14:textId="77777777" w:rsidTr="008B7FED">
        <w:tc>
          <w:tcPr>
            <w:tcW w:w="2972" w:type="dxa"/>
          </w:tcPr>
          <w:p w14:paraId="14B696DB"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Черговість проєктування та будівництва, необхідність виділення пускових комплексів</w:t>
            </w:r>
          </w:p>
        </w:tc>
        <w:tc>
          <w:tcPr>
            <w:tcW w:w="6804" w:type="dxa"/>
          </w:tcPr>
          <w:p w14:paraId="3BC60090"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 одну чергу.</w:t>
            </w:r>
          </w:p>
        </w:tc>
      </w:tr>
      <w:tr w:rsidR="00CD3DA5" w:rsidRPr="00C87DF4" w14:paraId="5CEE0BAA" w14:textId="77777777" w:rsidTr="008B7FED">
        <w:tc>
          <w:tcPr>
            <w:tcW w:w="2972" w:type="dxa"/>
          </w:tcPr>
          <w:p w14:paraId="2FE729BC"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Визначення класу (наслідків) відповідальності та установленого строку експлуатації</w:t>
            </w:r>
          </w:p>
        </w:tc>
        <w:tc>
          <w:tcPr>
            <w:tcW w:w="6804" w:type="dxa"/>
          </w:tcPr>
          <w:p w14:paraId="5238EA3C" w14:textId="77777777" w:rsidR="00CD3DA5" w:rsidRPr="00C87DF4" w:rsidRDefault="00CD3DA5" w:rsidP="008B7FED">
            <w:pPr>
              <w:spacing w:after="0" w:line="240" w:lineRule="auto"/>
              <w:rPr>
                <w:rFonts w:ascii="Times New Roman" w:hAnsi="Times New Roman"/>
                <w:iCs/>
                <w:spacing w:val="-4"/>
                <w:sz w:val="24"/>
                <w:szCs w:val="24"/>
                <w:lang w:eastAsia="ru-RU"/>
              </w:rPr>
            </w:pPr>
            <w:r w:rsidRPr="00C87DF4">
              <w:rPr>
                <w:rFonts w:ascii="Times New Roman" w:hAnsi="Times New Roman"/>
                <w:iCs/>
                <w:spacing w:val="-4"/>
                <w:sz w:val="24"/>
                <w:szCs w:val="24"/>
                <w:lang w:eastAsia="ru-RU"/>
              </w:rPr>
              <w:t>Попередньо визначений клас наслідків (відповідальності) – СС1. Остаточне визначення класу</w:t>
            </w:r>
            <w:r w:rsidRPr="00C87DF4">
              <w:rPr>
                <w:rFonts w:ascii="Times New Roman" w:hAnsi="Times New Roman"/>
                <w:sz w:val="24"/>
                <w:szCs w:val="24"/>
                <w:lang w:eastAsia="ru-RU"/>
              </w:rPr>
              <w:t xml:space="preserve"> </w:t>
            </w:r>
            <w:r w:rsidRPr="00C87DF4">
              <w:rPr>
                <w:rFonts w:ascii="Times New Roman" w:hAnsi="Times New Roman"/>
                <w:iCs/>
                <w:spacing w:val="-4"/>
                <w:sz w:val="24"/>
                <w:szCs w:val="24"/>
                <w:lang w:eastAsia="ru-RU"/>
              </w:rPr>
              <w:t>наслідків (відповідальності)  зазначається згідно розрахунку у проєкті відповідно до Закону України № 3038-VІ від 17.02.2011 «Про регулювання містобудівної діяльності» та ДСТУ 8855:2019 «Визначення класу наслідків (відповідальності)».</w:t>
            </w:r>
          </w:p>
          <w:p w14:paraId="6C7EF0F0"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iCs/>
                <w:spacing w:val="-4"/>
                <w:sz w:val="24"/>
                <w:szCs w:val="24"/>
                <w:lang w:eastAsia="ru-RU"/>
              </w:rPr>
              <w:t>Розрахунковий строк експлуатації – 12 років.</w:t>
            </w:r>
          </w:p>
        </w:tc>
      </w:tr>
      <w:tr w:rsidR="00CD3DA5" w:rsidRPr="00C87DF4" w14:paraId="57900091" w14:textId="77777777" w:rsidTr="008B7FED">
        <w:tc>
          <w:tcPr>
            <w:tcW w:w="2972" w:type="dxa"/>
          </w:tcPr>
          <w:p w14:paraId="334268ED"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Погодження проєктних рішень із зацікавленими відомствами, службами</w:t>
            </w:r>
          </w:p>
        </w:tc>
        <w:tc>
          <w:tcPr>
            <w:tcW w:w="6804" w:type="dxa"/>
          </w:tcPr>
          <w:p w14:paraId="15C022B8" w14:textId="77777777" w:rsidR="00CD3DA5" w:rsidRPr="00C87DF4" w:rsidRDefault="00CD3DA5" w:rsidP="008B7FED">
            <w:pPr>
              <w:spacing w:after="0" w:line="240" w:lineRule="auto"/>
              <w:rPr>
                <w:rFonts w:ascii="Times New Roman" w:hAnsi="Times New Roman"/>
                <w:iCs/>
                <w:spacing w:val="-4"/>
                <w:sz w:val="24"/>
                <w:szCs w:val="24"/>
                <w:lang w:eastAsia="ru-RU"/>
              </w:rPr>
            </w:pPr>
            <w:r w:rsidRPr="00C87DF4">
              <w:rPr>
                <w:rFonts w:ascii="Times New Roman" w:hAnsi="Times New Roman"/>
                <w:iCs/>
                <w:spacing w:val="-4"/>
                <w:sz w:val="24"/>
                <w:szCs w:val="24"/>
                <w:lang w:eastAsia="ru-RU"/>
              </w:rPr>
              <w:t>Погодження проєктної документації виконує Підрядник.</w:t>
            </w:r>
          </w:p>
          <w:p w14:paraId="07009F6D" w14:textId="77777777" w:rsidR="00CD3DA5" w:rsidRPr="00C87DF4" w:rsidRDefault="00CD3DA5" w:rsidP="008B7FED">
            <w:pPr>
              <w:spacing w:after="0" w:line="240" w:lineRule="auto"/>
              <w:rPr>
                <w:rFonts w:ascii="Times New Roman" w:hAnsi="Times New Roman"/>
                <w:iCs/>
                <w:spacing w:val="-4"/>
                <w:sz w:val="24"/>
                <w:szCs w:val="24"/>
                <w:lang w:eastAsia="ru-RU"/>
              </w:rPr>
            </w:pPr>
            <w:r w:rsidRPr="00C87DF4">
              <w:rPr>
                <w:rFonts w:ascii="Times New Roman" w:hAnsi="Times New Roman"/>
                <w:iCs/>
                <w:spacing w:val="-4"/>
                <w:sz w:val="24"/>
                <w:szCs w:val="24"/>
                <w:lang w:eastAsia="ru-RU"/>
              </w:rPr>
              <w:t xml:space="preserve">Перелік необхідних погоджень - Центр приєднань КП «КИЇВТЕПЛОЕНЕРГО» з усіма відповідними внутрішніми департаментами </w:t>
            </w:r>
          </w:p>
          <w:p w14:paraId="3DF0BD03" w14:textId="77777777" w:rsidR="00CD3DA5" w:rsidRPr="00C87DF4" w:rsidRDefault="00CD3DA5" w:rsidP="008B7FED">
            <w:pPr>
              <w:spacing w:after="0" w:line="240" w:lineRule="auto"/>
              <w:ind w:left="597"/>
              <w:contextualSpacing/>
              <w:rPr>
                <w:rFonts w:ascii="Times New Roman" w:hAnsi="Times New Roman"/>
                <w:iCs/>
                <w:spacing w:val="-4"/>
                <w:sz w:val="24"/>
                <w:szCs w:val="24"/>
                <w:lang w:eastAsia="ru-RU"/>
              </w:rPr>
            </w:pPr>
          </w:p>
        </w:tc>
      </w:tr>
      <w:tr w:rsidR="00CD3DA5" w:rsidRPr="00C87DF4" w14:paraId="4F142565" w14:textId="77777777" w:rsidTr="008B7FED">
        <w:tc>
          <w:tcPr>
            <w:tcW w:w="2972" w:type="dxa"/>
          </w:tcPr>
          <w:p w14:paraId="4A72AAC5"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Обсяг проєктних робіт</w:t>
            </w:r>
          </w:p>
        </w:tc>
        <w:tc>
          <w:tcPr>
            <w:tcW w:w="6804" w:type="dxa"/>
          </w:tcPr>
          <w:p w14:paraId="2C0E1737"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1.Завдання:</w:t>
            </w:r>
          </w:p>
          <w:p w14:paraId="339D760B"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Проєктом передбачити:</w:t>
            </w:r>
          </w:p>
          <w:p w14:paraId="3AC64E67"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w:t>
            </w:r>
            <w:r w:rsidRPr="00C87DF4">
              <w:rPr>
                <w:rFonts w:ascii="Times New Roman" w:hAnsi="Times New Roman"/>
                <w:sz w:val="24"/>
                <w:szCs w:val="24"/>
                <w:lang w:eastAsia="ru-RU"/>
              </w:rPr>
              <w:tab/>
              <w:t>Заміну лічильника теплової енергії</w:t>
            </w:r>
          </w:p>
          <w:p w14:paraId="64BA870E"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w:t>
            </w:r>
            <w:r w:rsidRPr="00C87DF4">
              <w:rPr>
                <w:rFonts w:ascii="Times New Roman" w:hAnsi="Times New Roman"/>
                <w:sz w:val="24"/>
                <w:szCs w:val="24"/>
                <w:lang w:eastAsia="ru-RU"/>
              </w:rPr>
              <w:tab/>
              <w:t>Заміну вузла приєднання системи опалення.</w:t>
            </w:r>
          </w:p>
          <w:p w14:paraId="62DC026B"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2.</w:t>
            </w:r>
            <w:r w:rsidRPr="00C87DF4">
              <w:rPr>
                <w:rFonts w:ascii="Times New Roman" w:hAnsi="Times New Roman"/>
                <w:sz w:val="24"/>
                <w:szCs w:val="24"/>
                <w:lang w:eastAsia="ru-RU"/>
              </w:rPr>
              <w:tab/>
              <w:t xml:space="preserve">Обладнання та матеріали повинні відповідати вимогам «Технічної політики» </w:t>
            </w:r>
          </w:p>
          <w:p w14:paraId="2D55B703"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 xml:space="preserve">КП «КИЇВТЕПЛОЕНЕРГО» </w:t>
            </w:r>
          </w:p>
          <w:p w14:paraId="4C5AB665" w14:textId="77777777" w:rsidR="00CD3DA5" w:rsidRPr="00C87DF4" w:rsidRDefault="00CD3DA5" w:rsidP="008B7FED">
            <w:pPr>
              <w:spacing w:after="0" w:line="240" w:lineRule="auto"/>
              <w:rPr>
                <w:rFonts w:ascii="Times New Roman" w:hAnsi="Times New Roman"/>
                <w:sz w:val="24"/>
                <w:szCs w:val="24"/>
                <w:highlight w:val="yellow"/>
                <w:lang w:eastAsia="ru-RU"/>
              </w:rPr>
            </w:pPr>
            <w:r w:rsidRPr="00C87DF4">
              <w:rPr>
                <w:rFonts w:ascii="Times New Roman" w:hAnsi="Times New Roman"/>
                <w:color w:val="000000"/>
                <w:sz w:val="24"/>
                <w:szCs w:val="24"/>
                <w:lang w:eastAsia="ru-RU"/>
              </w:rPr>
              <w:t>3. Термін виконання проєктних робіт – не пізніше 2026 року включно.</w:t>
            </w:r>
          </w:p>
        </w:tc>
      </w:tr>
      <w:tr w:rsidR="00CD3DA5" w:rsidRPr="00C87DF4" w14:paraId="329D6DA9" w14:textId="77777777" w:rsidTr="008B7FED">
        <w:tc>
          <w:tcPr>
            <w:tcW w:w="2972" w:type="dxa"/>
          </w:tcPr>
          <w:p w14:paraId="52EB7253"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Вимоги до благоустрою майданчика</w:t>
            </w:r>
          </w:p>
        </w:tc>
        <w:tc>
          <w:tcPr>
            <w:tcW w:w="6804" w:type="dxa"/>
          </w:tcPr>
          <w:p w14:paraId="2D8DC3CD"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Відсутні.</w:t>
            </w:r>
          </w:p>
        </w:tc>
      </w:tr>
      <w:tr w:rsidR="00CD3DA5" w:rsidRPr="00C87DF4" w14:paraId="19C0F5ED" w14:textId="77777777" w:rsidTr="008B7FED">
        <w:tc>
          <w:tcPr>
            <w:tcW w:w="2972" w:type="dxa"/>
          </w:tcPr>
          <w:p w14:paraId="5C84AC3B"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Вимоги до інженерного захисту території і об’єкту</w:t>
            </w:r>
          </w:p>
        </w:tc>
        <w:tc>
          <w:tcPr>
            <w:tcW w:w="6804" w:type="dxa"/>
          </w:tcPr>
          <w:p w14:paraId="68D04A58"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Відповідно до чинних нормативних документів.</w:t>
            </w:r>
          </w:p>
        </w:tc>
      </w:tr>
      <w:tr w:rsidR="00CD3DA5" w:rsidRPr="00C87DF4" w14:paraId="65C19002" w14:textId="77777777" w:rsidTr="008B7FED">
        <w:tc>
          <w:tcPr>
            <w:tcW w:w="2972" w:type="dxa"/>
          </w:tcPr>
          <w:p w14:paraId="1AA7446A"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 xml:space="preserve">Вимоги щодо розроблення розділу </w:t>
            </w:r>
          </w:p>
          <w:p w14:paraId="1DF85CA5" w14:textId="77777777" w:rsidR="00CD3DA5" w:rsidRPr="00C87DF4" w:rsidRDefault="00CD3DA5" w:rsidP="008B7FED">
            <w:p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"Оцінка впливів на навколишнє середовище"</w:t>
            </w:r>
          </w:p>
        </w:tc>
        <w:tc>
          <w:tcPr>
            <w:tcW w:w="6804" w:type="dxa"/>
          </w:tcPr>
          <w:p w14:paraId="5C06DA04"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Відсутні.</w:t>
            </w:r>
          </w:p>
          <w:p w14:paraId="0DE6AE83" w14:textId="77777777" w:rsidR="00CD3DA5" w:rsidRPr="00C87DF4" w:rsidRDefault="00CD3DA5" w:rsidP="008B7FED">
            <w:pPr>
              <w:spacing w:after="0" w:line="240" w:lineRule="auto"/>
              <w:rPr>
                <w:rFonts w:ascii="Times New Roman" w:hAnsi="Times New Roman"/>
                <w:sz w:val="24"/>
                <w:szCs w:val="24"/>
                <w:lang w:eastAsia="ru-RU"/>
              </w:rPr>
            </w:pPr>
          </w:p>
        </w:tc>
      </w:tr>
      <w:tr w:rsidR="00CD3DA5" w:rsidRPr="00C87DF4" w14:paraId="4A6234EE" w14:textId="77777777" w:rsidTr="008B7FED">
        <w:tc>
          <w:tcPr>
            <w:tcW w:w="2972" w:type="dxa"/>
          </w:tcPr>
          <w:p w14:paraId="4DBE9450"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 xml:space="preserve">Вимоги щодо розроблення </w:t>
            </w:r>
            <w:r w:rsidRPr="00C87DF4">
              <w:rPr>
                <w:rFonts w:ascii="Times New Roman" w:hAnsi="Times New Roman"/>
                <w:b/>
                <w:lang w:eastAsia="ru-RU"/>
              </w:rPr>
              <w:t>природоохоронних</w:t>
            </w:r>
            <w:r w:rsidRPr="00C87DF4">
              <w:rPr>
                <w:rFonts w:ascii="Times New Roman" w:hAnsi="Times New Roman"/>
                <w:b/>
                <w:sz w:val="24"/>
                <w:szCs w:val="24"/>
                <w:lang w:eastAsia="ru-RU"/>
              </w:rPr>
              <w:t xml:space="preserve"> заходів</w:t>
            </w:r>
          </w:p>
        </w:tc>
        <w:tc>
          <w:tcPr>
            <w:tcW w:w="6804" w:type="dxa"/>
          </w:tcPr>
          <w:p w14:paraId="234C9702"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Відсутні.</w:t>
            </w:r>
          </w:p>
          <w:p w14:paraId="4C49E850" w14:textId="77777777" w:rsidR="00CD3DA5" w:rsidRPr="00C87DF4" w:rsidRDefault="00CD3DA5" w:rsidP="008B7FED">
            <w:pPr>
              <w:spacing w:after="0" w:line="240" w:lineRule="auto"/>
              <w:rPr>
                <w:rFonts w:ascii="Times New Roman" w:hAnsi="Times New Roman"/>
                <w:sz w:val="24"/>
                <w:szCs w:val="24"/>
                <w:lang w:eastAsia="ru-RU"/>
              </w:rPr>
            </w:pPr>
          </w:p>
        </w:tc>
      </w:tr>
      <w:tr w:rsidR="00CD3DA5" w:rsidRPr="00C87DF4" w14:paraId="16570B5B" w14:textId="77777777" w:rsidTr="008B7FED">
        <w:tc>
          <w:tcPr>
            <w:tcW w:w="2972" w:type="dxa"/>
          </w:tcPr>
          <w:p w14:paraId="34956F92" w14:textId="77777777" w:rsidR="00CD3DA5" w:rsidRPr="00C87DF4" w:rsidRDefault="00CD3DA5" w:rsidP="00CD3DA5">
            <w:pPr>
              <w:numPr>
                <w:ilvl w:val="0"/>
                <w:numId w:val="37"/>
              </w:numPr>
              <w:spacing w:after="0" w:line="240" w:lineRule="auto"/>
              <w:ind w:left="447"/>
              <w:contextualSpacing/>
              <w:rPr>
                <w:rFonts w:ascii="Times New Roman" w:hAnsi="Times New Roman"/>
                <w:b/>
                <w:lang w:eastAsia="ru-RU"/>
              </w:rPr>
            </w:pPr>
            <w:r w:rsidRPr="00C87DF4">
              <w:rPr>
                <w:rFonts w:ascii="Times New Roman" w:hAnsi="Times New Roman"/>
                <w:b/>
                <w:lang w:eastAsia="ru-RU"/>
              </w:rPr>
              <w:t>Вимоги до розділу з енергозбереження та енергоефективності</w:t>
            </w:r>
          </w:p>
        </w:tc>
        <w:tc>
          <w:tcPr>
            <w:tcW w:w="6804" w:type="dxa"/>
          </w:tcPr>
          <w:p w14:paraId="63E5F719"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1.</w:t>
            </w:r>
            <w:r w:rsidRPr="00C87DF4">
              <w:rPr>
                <w:rFonts w:ascii="Times New Roman" w:hAnsi="Times New Roman"/>
                <w:sz w:val="24"/>
                <w:szCs w:val="24"/>
                <w:lang w:eastAsia="ru-RU"/>
              </w:rPr>
              <w:tab/>
              <w:t>Закон України «Про енергетичну ефективність».</w:t>
            </w:r>
          </w:p>
          <w:p w14:paraId="084569BB"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2.</w:t>
            </w:r>
            <w:r w:rsidRPr="00C87DF4">
              <w:rPr>
                <w:rFonts w:ascii="Times New Roman" w:hAnsi="Times New Roman"/>
                <w:sz w:val="24"/>
                <w:szCs w:val="24"/>
                <w:lang w:eastAsia="ru-RU"/>
              </w:rPr>
              <w:tab/>
              <w:t>Директива</w:t>
            </w:r>
            <w:r w:rsidRPr="00C87DF4">
              <w:rPr>
                <w:rFonts w:ascii="Times New Roman" w:hAnsi="Times New Roman"/>
                <w:sz w:val="24"/>
                <w:szCs w:val="24"/>
                <w:lang w:val="ru-RU" w:eastAsia="ru-RU"/>
              </w:rPr>
              <w:t> </w:t>
            </w:r>
            <w:r w:rsidRPr="00C87DF4">
              <w:rPr>
                <w:rFonts w:ascii="Times New Roman" w:hAnsi="Times New Roman"/>
                <w:sz w:val="24"/>
                <w:szCs w:val="24"/>
                <w:lang w:eastAsia="ru-RU"/>
              </w:rPr>
              <w:t xml:space="preserve"> №</w:t>
            </w:r>
            <w:r w:rsidRPr="00C87DF4">
              <w:rPr>
                <w:rFonts w:ascii="Times New Roman" w:hAnsi="Times New Roman"/>
                <w:sz w:val="24"/>
                <w:szCs w:val="24"/>
                <w:lang w:val="ru-RU" w:eastAsia="ru-RU"/>
              </w:rPr>
              <w:t> </w:t>
            </w:r>
            <w:r w:rsidRPr="00C87DF4">
              <w:rPr>
                <w:rFonts w:ascii="Times New Roman" w:hAnsi="Times New Roman"/>
                <w:sz w:val="24"/>
                <w:szCs w:val="24"/>
                <w:lang w:eastAsia="ru-RU"/>
              </w:rPr>
              <w:t xml:space="preserve">2012/27/ЄС про енергоефективність. </w:t>
            </w:r>
          </w:p>
          <w:p w14:paraId="69F5D0C5"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lastRenderedPageBreak/>
              <w:t>3.</w:t>
            </w:r>
            <w:r w:rsidRPr="00C87DF4">
              <w:rPr>
                <w:rFonts w:ascii="Times New Roman" w:hAnsi="Times New Roman"/>
                <w:sz w:val="24"/>
                <w:szCs w:val="24"/>
                <w:lang w:eastAsia="ru-RU"/>
              </w:rPr>
              <w:tab/>
              <w:t>Схема теплопостачання м. Києва до 2030 року (затверджено рішенням Київської міської ради від 09.02.2023 № 5927/5968).</w:t>
            </w:r>
          </w:p>
        </w:tc>
      </w:tr>
      <w:tr w:rsidR="00CD3DA5" w:rsidRPr="00C87DF4" w14:paraId="60FA673D" w14:textId="77777777" w:rsidTr="008B7FED">
        <w:tc>
          <w:tcPr>
            <w:tcW w:w="2972" w:type="dxa"/>
          </w:tcPr>
          <w:p w14:paraId="245B6A37"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lastRenderedPageBreak/>
              <w:t>Вимоги щодо розроблення розділу</w:t>
            </w:r>
          </w:p>
          <w:p w14:paraId="620696BF" w14:textId="77777777" w:rsidR="00CD3DA5" w:rsidRPr="00C87DF4" w:rsidRDefault="00CD3DA5" w:rsidP="008B7FED">
            <w:p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"Організація будівництва"</w:t>
            </w:r>
          </w:p>
        </w:tc>
        <w:tc>
          <w:tcPr>
            <w:tcW w:w="6804" w:type="dxa"/>
          </w:tcPr>
          <w:p w14:paraId="31D20444"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Відсутні</w:t>
            </w:r>
          </w:p>
        </w:tc>
      </w:tr>
      <w:tr w:rsidR="00CD3DA5" w:rsidRPr="00C87DF4" w14:paraId="2739F2ED" w14:textId="77777777" w:rsidTr="008B7FED">
        <w:tc>
          <w:tcPr>
            <w:tcW w:w="2972" w:type="dxa"/>
          </w:tcPr>
          <w:p w14:paraId="01577464"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Вимоги до проєкту підготовчих робіт</w:t>
            </w:r>
          </w:p>
        </w:tc>
        <w:tc>
          <w:tcPr>
            <w:tcW w:w="6804" w:type="dxa"/>
          </w:tcPr>
          <w:p w14:paraId="1318E304"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Відсутні.</w:t>
            </w:r>
          </w:p>
          <w:p w14:paraId="3CC9DD42" w14:textId="77777777" w:rsidR="00CD3DA5" w:rsidRPr="00C87DF4" w:rsidRDefault="00CD3DA5" w:rsidP="008B7FED">
            <w:pPr>
              <w:spacing w:after="0" w:line="240" w:lineRule="auto"/>
              <w:rPr>
                <w:rFonts w:ascii="Times New Roman" w:hAnsi="Times New Roman"/>
                <w:sz w:val="24"/>
                <w:szCs w:val="24"/>
                <w:lang w:eastAsia="ru-RU"/>
              </w:rPr>
            </w:pPr>
          </w:p>
        </w:tc>
      </w:tr>
      <w:tr w:rsidR="00CD3DA5" w:rsidRPr="00C87DF4" w14:paraId="771D42F9" w14:textId="77777777" w:rsidTr="008B7FED">
        <w:tc>
          <w:tcPr>
            <w:tcW w:w="2972" w:type="dxa"/>
          </w:tcPr>
          <w:p w14:paraId="752923E5"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Вимоги до режиму безпеки та охорони праці</w:t>
            </w:r>
          </w:p>
        </w:tc>
        <w:tc>
          <w:tcPr>
            <w:tcW w:w="6804" w:type="dxa"/>
          </w:tcPr>
          <w:p w14:paraId="4652F211"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Відповідно до ДБН А.3.2-2-2009 «Система стандартів безпеки праці. Охорона праці і промислова безпека в будівництві».</w:t>
            </w:r>
          </w:p>
        </w:tc>
      </w:tr>
      <w:tr w:rsidR="00CD3DA5" w:rsidRPr="00C87DF4" w14:paraId="75B06865" w14:textId="77777777" w:rsidTr="008B7FED">
        <w:tc>
          <w:tcPr>
            <w:tcW w:w="2972" w:type="dxa"/>
          </w:tcPr>
          <w:p w14:paraId="389F51A1"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Вимоги до систем протипожежного захисту об’єктів</w:t>
            </w:r>
          </w:p>
        </w:tc>
        <w:tc>
          <w:tcPr>
            <w:tcW w:w="6804" w:type="dxa"/>
          </w:tcPr>
          <w:p w14:paraId="530B5B0A"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Відповідно до ДБН В.1.1-7:2016 «Пожежна безпека об’єктів будівництва», ДБН В.2.5-56:2014 «Системи протипожежного захисту».</w:t>
            </w:r>
          </w:p>
        </w:tc>
      </w:tr>
      <w:tr w:rsidR="00CD3DA5" w:rsidRPr="00C87DF4" w14:paraId="38AF5DA2" w14:textId="77777777" w:rsidTr="008B7FED">
        <w:tc>
          <w:tcPr>
            <w:tcW w:w="2972" w:type="dxa"/>
          </w:tcPr>
          <w:p w14:paraId="0BA1DBC3"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Вимоги до розроблення спеціальних заходів</w:t>
            </w:r>
          </w:p>
        </w:tc>
        <w:tc>
          <w:tcPr>
            <w:tcW w:w="6804" w:type="dxa"/>
          </w:tcPr>
          <w:p w14:paraId="5B787F10"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Відсутні.</w:t>
            </w:r>
          </w:p>
        </w:tc>
      </w:tr>
      <w:tr w:rsidR="00CD3DA5" w:rsidRPr="00C87DF4" w14:paraId="25EB6AE1" w14:textId="77777777" w:rsidTr="008B7FED">
        <w:tc>
          <w:tcPr>
            <w:tcW w:w="2972" w:type="dxa"/>
          </w:tcPr>
          <w:p w14:paraId="3AA7DB01"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Вимоги до проєктної документації.</w:t>
            </w:r>
          </w:p>
        </w:tc>
        <w:tc>
          <w:tcPr>
            <w:tcW w:w="6804" w:type="dxa"/>
          </w:tcPr>
          <w:p w14:paraId="54899652"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 xml:space="preserve">1. Відповідно до чинних нормативних документів: </w:t>
            </w:r>
            <w:r w:rsidRPr="00C87DF4">
              <w:rPr>
                <w:rFonts w:ascii="Times New Roman" w:hAnsi="Times New Roman"/>
                <w:bCs/>
                <w:sz w:val="24"/>
                <w:szCs w:val="24"/>
                <w:lang w:val="ru-RU" w:eastAsia="ru-RU"/>
              </w:rPr>
              <w:t xml:space="preserve">ДСТУ 9243.4 2023 </w:t>
            </w:r>
            <w:r w:rsidRPr="00C87DF4">
              <w:rPr>
                <w:rFonts w:ascii="Times New Roman" w:hAnsi="Times New Roman"/>
                <w:bCs/>
                <w:sz w:val="24"/>
                <w:szCs w:val="24"/>
                <w:lang w:eastAsia="ru-RU"/>
              </w:rPr>
              <w:t>«</w:t>
            </w:r>
            <w:r w:rsidRPr="00C87DF4">
              <w:rPr>
                <w:rFonts w:ascii="Times New Roman" w:hAnsi="Times New Roman"/>
                <w:bCs/>
                <w:sz w:val="24"/>
                <w:szCs w:val="24"/>
                <w:lang w:val="ru-RU" w:eastAsia="ru-RU"/>
              </w:rPr>
              <w:t>СПДБ. Основні вимоги до проєктної документації</w:t>
            </w:r>
            <w:r w:rsidRPr="00C87DF4">
              <w:rPr>
                <w:rFonts w:ascii="Times New Roman" w:hAnsi="Times New Roman"/>
                <w:bCs/>
                <w:sz w:val="24"/>
                <w:szCs w:val="24"/>
                <w:lang w:eastAsia="ru-RU"/>
              </w:rPr>
              <w:t>»</w:t>
            </w:r>
            <w:r w:rsidRPr="00C87DF4">
              <w:rPr>
                <w:rFonts w:ascii="Times New Roman" w:hAnsi="Times New Roman"/>
                <w:sz w:val="24"/>
                <w:szCs w:val="24"/>
                <w:lang w:eastAsia="ru-RU"/>
              </w:rPr>
              <w:t>; ДБН А.2.2-3:2014 «Склад та зміст проектної документації на будівництво».</w:t>
            </w:r>
          </w:p>
          <w:p w14:paraId="3D58A347"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2. Проєктну документацію надати в повному обсязі у паперовому вигляді у 3-х примірниках (один повний комплект має бути в паперовому архівному боксі).</w:t>
            </w:r>
          </w:p>
          <w:p w14:paraId="0C7CAC52"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3. Проєктна документація надається з урахуванням усіх зауважень отриманих від замовника, органів (служб, організацій), що здійснюють її розгляд (погодження), та експертної організації.</w:t>
            </w:r>
          </w:p>
        </w:tc>
      </w:tr>
      <w:tr w:rsidR="00CD3DA5" w:rsidRPr="00C87DF4" w14:paraId="053B245F" w14:textId="77777777" w:rsidTr="008B7FED">
        <w:tc>
          <w:tcPr>
            <w:tcW w:w="2972" w:type="dxa"/>
          </w:tcPr>
          <w:p w14:paraId="53701034"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Вимоги до електронної версії проєктної документації.</w:t>
            </w:r>
          </w:p>
        </w:tc>
        <w:tc>
          <w:tcPr>
            <w:tcW w:w="6804" w:type="dxa"/>
          </w:tcPr>
          <w:p w14:paraId="0D2A8C43"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1. Проєктна документація додатково надається в електронному вигляді на USB</w:t>
            </w:r>
            <w:r w:rsidRPr="00C87DF4">
              <w:rPr>
                <w:rFonts w:ascii="Times New Roman" w:hAnsi="Times New Roman"/>
                <w:sz w:val="24"/>
                <w:szCs w:val="24"/>
                <w:lang w:val="ru-RU" w:eastAsia="ru-RU"/>
              </w:rPr>
              <w:t xml:space="preserve"> </w:t>
            </w:r>
            <w:r w:rsidRPr="00C87DF4">
              <w:rPr>
                <w:rFonts w:ascii="Times New Roman" w:hAnsi="Times New Roman"/>
                <w:sz w:val="24"/>
                <w:szCs w:val="24"/>
                <w:lang w:eastAsia="ru-RU"/>
              </w:rPr>
              <w:t>Flash</w:t>
            </w:r>
            <w:r w:rsidRPr="00C87DF4">
              <w:rPr>
                <w:rFonts w:ascii="Times New Roman" w:hAnsi="Times New Roman"/>
                <w:sz w:val="24"/>
                <w:szCs w:val="24"/>
                <w:lang w:val="ru-RU" w:eastAsia="ru-RU"/>
              </w:rPr>
              <w:t xml:space="preserve"> </w:t>
            </w:r>
            <w:r w:rsidRPr="00C87DF4">
              <w:rPr>
                <w:rFonts w:ascii="Times New Roman" w:hAnsi="Times New Roman"/>
                <w:sz w:val="24"/>
                <w:szCs w:val="24"/>
                <w:lang w:eastAsia="ru-RU"/>
              </w:rPr>
              <w:t>носії та має відповідати вимогам п.24 завдання на проєктування.</w:t>
            </w:r>
          </w:p>
          <w:p w14:paraId="34539300"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2. Проєктна документація надається в сканованому вигляді у форматі * .pdf; кошториси на будівельні роботи – формат програмного комплексу АВК-5 (у поточній редакції).</w:t>
            </w:r>
          </w:p>
        </w:tc>
      </w:tr>
      <w:tr w:rsidR="00CD3DA5" w:rsidRPr="00C87DF4" w14:paraId="5AEB6ABF" w14:textId="77777777" w:rsidTr="008B7FED">
        <w:tc>
          <w:tcPr>
            <w:tcW w:w="2972" w:type="dxa"/>
          </w:tcPr>
          <w:p w14:paraId="48EEFAEC"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Вимоги щодо забезпечення збалансованого використання природних ресурсів</w:t>
            </w:r>
          </w:p>
        </w:tc>
        <w:tc>
          <w:tcPr>
            <w:tcW w:w="6804" w:type="dxa"/>
          </w:tcPr>
          <w:p w14:paraId="131D023C"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Відсутні.</w:t>
            </w:r>
          </w:p>
        </w:tc>
      </w:tr>
      <w:tr w:rsidR="00CD3DA5" w:rsidRPr="00C87DF4" w14:paraId="10059AAF" w14:textId="77777777" w:rsidTr="008B7FED">
        <w:tc>
          <w:tcPr>
            <w:tcW w:w="2972" w:type="dxa"/>
          </w:tcPr>
          <w:p w14:paraId="146B0F03"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Додаткові умови</w:t>
            </w:r>
          </w:p>
        </w:tc>
        <w:tc>
          <w:tcPr>
            <w:tcW w:w="6804" w:type="dxa"/>
          </w:tcPr>
          <w:p w14:paraId="6A2B8F99"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Проєктною документацією передбачити і врахувати:</w:t>
            </w:r>
          </w:p>
          <w:p w14:paraId="2430D28D" w14:textId="77777777" w:rsidR="00CD3DA5" w:rsidRPr="00C87DF4" w:rsidRDefault="00CD3DA5" w:rsidP="00CD3DA5">
            <w:pPr>
              <w:numPr>
                <w:ilvl w:val="0"/>
                <w:numId w:val="38"/>
              </w:numPr>
              <w:tabs>
                <w:tab w:val="left" w:pos="369"/>
              </w:tabs>
              <w:suppressAutoHyphens/>
              <w:spacing w:after="0" w:line="240" w:lineRule="auto"/>
              <w:contextualSpacing/>
              <w:jc w:val="both"/>
              <w:rPr>
                <w:rFonts w:ascii="Times New Roman" w:hAnsi="Times New Roman"/>
                <w:sz w:val="24"/>
                <w:szCs w:val="24"/>
                <w:lang w:eastAsia="ru-RU"/>
              </w:rPr>
            </w:pPr>
            <w:r w:rsidRPr="00C87DF4">
              <w:rPr>
                <w:rFonts w:ascii="Times New Roman" w:hAnsi="Times New Roman"/>
                <w:sz w:val="24"/>
                <w:szCs w:val="24"/>
                <w:lang w:eastAsia="ru-RU"/>
              </w:rPr>
              <w:t xml:space="preserve">Перед подачею документації до експертної організації, Підрядник зобов’язаний надати на розгляд в </w:t>
            </w:r>
            <w:r w:rsidRPr="00C87DF4">
              <w:rPr>
                <w:rFonts w:ascii="Times New Roman" w:hAnsi="Times New Roman"/>
                <w:sz w:val="24"/>
                <w:szCs w:val="24"/>
                <w:lang w:eastAsia="ru-RU"/>
              </w:rPr>
              <w:br/>
            </w:r>
            <w:r w:rsidRPr="00C87DF4">
              <w:rPr>
                <w:rFonts w:ascii="Times New Roman" w:hAnsi="Times New Roman"/>
                <w:iCs/>
                <w:spacing w:val="-4"/>
                <w:sz w:val="24"/>
                <w:szCs w:val="24"/>
                <w:lang w:eastAsia="ru-RU"/>
              </w:rPr>
              <w:t xml:space="preserve">СП «ЕНЕРГОЗБУТ» </w:t>
            </w:r>
            <w:r w:rsidRPr="00C87DF4">
              <w:rPr>
                <w:rFonts w:ascii="Times New Roman" w:hAnsi="Times New Roman"/>
                <w:sz w:val="24"/>
                <w:szCs w:val="24"/>
                <w:lang w:eastAsia="ru-RU"/>
              </w:rPr>
              <w:t>КП “КИЇВТЕПЛОЕНЕРГО” один комплект проєктної документації в паперовому вигляді та надати на розгляд та погодження один комплект кошторисної документації в паперовому вигляді на будівельні роботи – формат програмного комплексу АВК 5 в поточній редакції.</w:t>
            </w:r>
          </w:p>
          <w:p w14:paraId="000A2944" w14:textId="77777777" w:rsidR="00CD3DA5" w:rsidRPr="00C87DF4" w:rsidRDefault="00CD3DA5" w:rsidP="00CD3DA5">
            <w:pPr>
              <w:numPr>
                <w:ilvl w:val="0"/>
                <w:numId w:val="38"/>
              </w:numPr>
              <w:tabs>
                <w:tab w:val="left" w:pos="369"/>
              </w:tabs>
              <w:suppressAutoHyphens/>
              <w:spacing w:after="0" w:line="240" w:lineRule="auto"/>
              <w:jc w:val="both"/>
              <w:rPr>
                <w:rFonts w:ascii="Times New Roman" w:hAnsi="Times New Roman"/>
                <w:sz w:val="24"/>
                <w:szCs w:val="24"/>
                <w:lang w:eastAsia="ru-RU"/>
              </w:rPr>
            </w:pPr>
            <w:r w:rsidRPr="00C87DF4">
              <w:rPr>
                <w:rFonts w:ascii="Times New Roman" w:hAnsi="Times New Roman"/>
                <w:sz w:val="24"/>
                <w:szCs w:val="24"/>
                <w:lang w:eastAsia="ru-RU"/>
              </w:rPr>
              <w:t>Експертизу</w:t>
            </w:r>
            <w:r w:rsidRPr="00C87DF4">
              <w:rPr>
                <w:rFonts w:ascii="MyriadProRegular" w:hAnsi="MyriadProRegular"/>
                <w:sz w:val="24"/>
                <w:szCs w:val="24"/>
                <w:lang w:eastAsia="uk-UA"/>
              </w:rPr>
              <w:t xml:space="preserve"> проєктної документації виконати у відповідності до ДСТУ 8907:2019 в експертній організації, що відповідає Критеріям, </w:t>
            </w:r>
            <w:r w:rsidRPr="00C87DF4">
              <w:rPr>
                <w:rFonts w:ascii="Times New Roman" w:hAnsi="Times New Roman"/>
                <w:sz w:val="24"/>
                <w:szCs w:val="24"/>
                <w:lang w:eastAsia="ru-RU"/>
              </w:rPr>
              <w:t xml:space="preserve">встановленим наказом Міністерства регіонального розвитку, будівництва та житлово-комунального господарства </w:t>
            </w:r>
            <w:r w:rsidRPr="00C87DF4">
              <w:rPr>
                <w:rFonts w:ascii="Times New Roman" w:hAnsi="Times New Roman"/>
                <w:sz w:val="24"/>
                <w:szCs w:val="24"/>
                <w:lang w:eastAsia="ru-RU"/>
              </w:rPr>
              <w:lastRenderedPageBreak/>
              <w:t>України від 15.08.2017 № 204 та змінами до Критеріїв відповідно до наказу Міністерства регіонального розвитку, будівництва та житлово-комунального господарства України від 31.10.2018 № 288</w:t>
            </w:r>
            <w:r w:rsidRPr="00C87DF4">
              <w:rPr>
                <w:rFonts w:ascii="MyriadProRegular" w:hAnsi="MyriadProRegular"/>
                <w:sz w:val="24"/>
                <w:szCs w:val="24"/>
                <w:lang w:eastAsia="uk-UA"/>
              </w:rPr>
              <w:t xml:space="preserve">, та має право проводити експертизу проєктів будівництва відповідного класу наслідків, що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 на тій території, де реалізується проєкт, та отримати експертний звіт (позитивний). </w:t>
            </w:r>
            <w:r w:rsidRPr="00C87DF4">
              <w:rPr>
                <w:rFonts w:ascii="Times New Roman" w:hAnsi="Times New Roman"/>
                <w:sz w:val="24"/>
                <w:szCs w:val="24"/>
                <w:lang w:val="ru-RU" w:eastAsia="uk-UA"/>
              </w:rPr>
              <w:t>Підрядник укладає договір (як замовник) з експертною</w:t>
            </w:r>
            <w:r w:rsidRPr="00C87DF4">
              <w:rPr>
                <w:rFonts w:ascii="MyriadProRegular" w:hAnsi="MyriadProRegular"/>
                <w:sz w:val="24"/>
                <w:szCs w:val="24"/>
                <w:lang w:val="ru-RU" w:eastAsia="uk-UA"/>
              </w:rPr>
              <w:t xml:space="preserve"> організацією на проведення експертизи, здійснює супровід.</w:t>
            </w:r>
            <w:r w:rsidRPr="00C87DF4">
              <w:rPr>
                <w:rFonts w:ascii="Times New Roman" w:hAnsi="Times New Roman"/>
                <w:sz w:val="24"/>
                <w:szCs w:val="24"/>
                <w:lang w:val="ru-RU" w:eastAsia="ru-RU"/>
              </w:rPr>
              <w:t xml:space="preserve"> </w:t>
            </w:r>
          </w:p>
          <w:p w14:paraId="20DDD877" w14:textId="77777777" w:rsidR="00CD3DA5" w:rsidRPr="00C87DF4" w:rsidRDefault="00CD3DA5" w:rsidP="00CD3DA5">
            <w:pPr>
              <w:numPr>
                <w:ilvl w:val="0"/>
                <w:numId w:val="38"/>
              </w:numPr>
              <w:tabs>
                <w:tab w:val="left" w:pos="369"/>
              </w:tabs>
              <w:suppressAutoHyphens/>
              <w:spacing w:after="0" w:line="240" w:lineRule="auto"/>
              <w:jc w:val="both"/>
              <w:rPr>
                <w:rFonts w:ascii="Times New Roman" w:hAnsi="Times New Roman"/>
                <w:sz w:val="24"/>
                <w:szCs w:val="24"/>
                <w:lang w:eastAsia="ru-RU"/>
              </w:rPr>
            </w:pPr>
            <w:r w:rsidRPr="00C87DF4">
              <w:rPr>
                <w:rFonts w:ascii="Times New Roman" w:hAnsi="Times New Roman"/>
                <w:sz w:val="24"/>
                <w:szCs w:val="24"/>
                <w:lang w:eastAsia="ru-RU"/>
              </w:rPr>
              <w:t xml:space="preserve">Після передавання проєктної документації до експертної організації, Підрядник зобов’язаний відстоювати прийняті проєктні рішення, враховувати зауваження, надані експертною організацією, вносити до ПД відповідні зміни та отримати експертний звіт (позитивний). </w:t>
            </w:r>
          </w:p>
          <w:p w14:paraId="79C62100" w14:textId="77777777" w:rsidR="00CD3DA5" w:rsidRPr="00C87DF4" w:rsidRDefault="00CD3DA5" w:rsidP="00CD3DA5">
            <w:pPr>
              <w:numPr>
                <w:ilvl w:val="0"/>
                <w:numId w:val="38"/>
              </w:numPr>
              <w:tabs>
                <w:tab w:val="left" w:pos="369"/>
              </w:tabs>
              <w:suppressAutoHyphens/>
              <w:spacing w:after="0" w:line="240" w:lineRule="auto"/>
              <w:jc w:val="both"/>
              <w:rPr>
                <w:rFonts w:ascii="Times New Roman" w:hAnsi="Times New Roman"/>
                <w:sz w:val="24"/>
                <w:szCs w:val="24"/>
                <w:lang w:eastAsia="ru-RU"/>
              </w:rPr>
            </w:pPr>
            <w:r w:rsidRPr="00C87DF4">
              <w:rPr>
                <w:rFonts w:ascii="Times New Roman" w:hAnsi="Times New Roman"/>
                <w:sz w:val="24"/>
                <w:szCs w:val="24"/>
                <w:lang w:eastAsia="ru-RU"/>
              </w:rPr>
              <w:t>Після отримання експертного звіту Підрядник передає Замовнику:</w:t>
            </w:r>
          </w:p>
          <w:p w14:paraId="40ECE753" w14:textId="77777777" w:rsidR="00CD3DA5" w:rsidRPr="00C87DF4" w:rsidRDefault="00CD3DA5" w:rsidP="008B7FED">
            <w:pPr>
              <w:tabs>
                <w:tab w:val="left" w:pos="369"/>
              </w:tabs>
              <w:suppressAutoHyphens/>
              <w:spacing w:after="0" w:line="240" w:lineRule="auto"/>
              <w:jc w:val="both"/>
              <w:rPr>
                <w:rFonts w:ascii="Times New Roman" w:hAnsi="Times New Roman"/>
                <w:sz w:val="24"/>
                <w:szCs w:val="24"/>
                <w:lang w:eastAsia="ru-RU"/>
              </w:rPr>
            </w:pPr>
            <w:r w:rsidRPr="00C87DF4">
              <w:rPr>
                <w:rFonts w:ascii="Times New Roman" w:hAnsi="Times New Roman"/>
                <w:sz w:val="24"/>
                <w:szCs w:val="24"/>
                <w:lang w:eastAsia="ru-RU"/>
              </w:rPr>
              <w:t>4</w:t>
            </w:r>
            <w:r w:rsidRPr="00C87DF4">
              <w:rPr>
                <w:rFonts w:ascii="Times New Roman" w:hAnsi="Times New Roman"/>
                <w:sz w:val="24"/>
                <w:szCs w:val="24"/>
                <w:lang w:val="ru-RU" w:eastAsia="ru-RU"/>
              </w:rPr>
              <w:t xml:space="preserve">.1. </w:t>
            </w:r>
            <w:r w:rsidRPr="00C87DF4">
              <w:rPr>
                <w:rFonts w:ascii="Times New Roman" w:hAnsi="Times New Roman"/>
                <w:sz w:val="24"/>
                <w:szCs w:val="24"/>
                <w:lang w:eastAsia="ru-RU"/>
              </w:rPr>
              <w:t>ПД в повному обсязі у паперовому вигляді у 3-х примірниках (один повний комплект має бути в паперовому архівному боксі);</w:t>
            </w:r>
          </w:p>
          <w:p w14:paraId="5B732B66" w14:textId="77777777" w:rsidR="00CD3DA5" w:rsidRPr="00C87DF4" w:rsidRDefault="00CD3DA5" w:rsidP="008B7FED">
            <w:pPr>
              <w:tabs>
                <w:tab w:val="left" w:pos="369"/>
              </w:tabs>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4.2</w:t>
            </w:r>
            <w:r w:rsidRPr="00C87DF4">
              <w:rPr>
                <w:rFonts w:ascii="Times New Roman" w:hAnsi="Times New Roman"/>
                <w:sz w:val="24"/>
                <w:szCs w:val="24"/>
                <w:lang w:val="ru-RU" w:eastAsia="ru-RU"/>
              </w:rPr>
              <w:t xml:space="preserve">. </w:t>
            </w:r>
            <w:r w:rsidRPr="00C87DF4">
              <w:rPr>
                <w:rFonts w:ascii="Times New Roman" w:hAnsi="Times New Roman"/>
                <w:sz w:val="24"/>
                <w:szCs w:val="24"/>
                <w:lang w:eastAsia="ru-RU"/>
              </w:rPr>
              <w:t>ПД в електронному вигляді на USB Flash носії оформлену у відповідності до вимог договору;</w:t>
            </w:r>
          </w:p>
          <w:p w14:paraId="6C54D67F"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4.3. Оригінал експертного звіту (позитивного);</w:t>
            </w:r>
          </w:p>
          <w:p w14:paraId="0DB5BC4D" w14:textId="77777777" w:rsidR="00CD3DA5" w:rsidRPr="00C87DF4" w:rsidRDefault="00CD3DA5" w:rsidP="008B7FED">
            <w:pPr>
              <w:tabs>
                <w:tab w:val="left" w:pos="369"/>
              </w:tabs>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 xml:space="preserve">4.4. Зведений кошторисний розрахунок вартості будівництва у </w:t>
            </w:r>
            <w:r w:rsidRPr="00C87DF4">
              <w:rPr>
                <w:rFonts w:ascii="Times New Roman" w:hAnsi="Times New Roman"/>
                <w:sz w:val="24"/>
                <w:szCs w:val="24"/>
                <w:lang w:eastAsia="ru-RU"/>
              </w:rPr>
              <w:br/>
              <w:t>3-х примірниках засвідчений оригіналами підписів та мокрими печатками (ГІПа та підрядної організації).</w:t>
            </w:r>
          </w:p>
        </w:tc>
      </w:tr>
      <w:tr w:rsidR="00CD3DA5" w:rsidRPr="00C87DF4" w14:paraId="13884975" w14:textId="77777777" w:rsidTr="008B7FED">
        <w:tc>
          <w:tcPr>
            <w:tcW w:w="2972" w:type="dxa"/>
          </w:tcPr>
          <w:p w14:paraId="420BF4B4"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sz w:val="24"/>
                <w:szCs w:val="24"/>
                <w:lang w:val="ru-RU" w:eastAsia="ru-RU"/>
              </w:rPr>
              <w:lastRenderedPageBreak/>
              <w:t>Вимоги до кошторисної документації</w:t>
            </w:r>
          </w:p>
        </w:tc>
        <w:tc>
          <w:tcPr>
            <w:tcW w:w="6804" w:type="dxa"/>
          </w:tcPr>
          <w:p w14:paraId="5FB78205" w14:textId="77777777" w:rsidR="00CD3DA5" w:rsidRPr="00C87DF4" w:rsidRDefault="00CD3DA5" w:rsidP="008B7FED">
            <w:pPr>
              <w:spacing w:after="0" w:line="240" w:lineRule="auto"/>
              <w:jc w:val="both"/>
              <w:rPr>
                <w:rFonts w:ascii="Times New Roman" w:hAnsi="Times New Roman"/>
                <w:sz w:val="24"/>
                <w:szCs w:val="24"/>
                <w:lang w:eastAsia="ru-RU"/>
              </w:rPr>
            </w:pPr>
            <w:r w:rsidRPr="00C87DF4">
              <w:rPr>
                <w:rFonts w:ascii="Times New Roman" w:hAnsi="Times New Roman"/>
                <w:sz w:val="24"/>
                <w:szCs w:val="24"/>
                <w:lang w:eastAsia="ru-RU"/>
              </w:rPr>
              <w:t>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1E03D17C" w14:textId="77777777" w:rsidR="00CD3DA5" w:rsidRPr="00C87DF4" w:rsidRDefault="00CD3DA5" w:rsidP="008B7FED">
            <w:pPr>
              <w:spacing w:after="0" w:line="240" w:lineRule="auto"/>
              <w:jc w:val="both"/>
              <w:rPr>
                <w:rFonts w:ascii="Times New Roman" w:hAnsi="Times New Roman"/>
                <w:sz w:val="24"/>
                <w:szCs w:val="24"/>
                <w:highlight w:val="yellow"/>
                <w:lang w:eastAsia="ru-RU"/>
              </w:rPr>
            </w:pPr>
            <w:r w:rsidRPr="00C87DF4">
              <w:rPr>
                <w:rFonts w:ascii="Times New Roman" w:hAnsi="Times New Roman"/>
                <w:sz w:val="24"/>
                <w:szCs w:val="24"/>
                <w:lang w:eastAsia="ru-RU"/>
              </w:rPr>
              <w:t>Врахувати кошти на технічний нагляд (у розмірі 1,5% від підсумку глав 1-9), на авторський нагляд, здійснення комплексної експертизи проектної документації, кошти на покриття ризиків, пов’язаних з проектною документацією, кошти на покриття додаткових витрат, пов’язаних з інфляційними процесами, витрати на відрядження працівників будівельних організацій на об’єкт будівництва (з врахуванням Постанови Кабінету Міністрів від 02.02.2011 № 98), вартість проектних робіт, кошти на оплату послуг, пов'язаних із введенням об'єктів будівництва в експлуатацію.</w:t>
            </w:r>
          </w:p>
        </w:tc>
      </w:tr>
      <w:tr w:rsidR="00CD3DA5" w:rsidRPr="00C87DF4" w14:paraId="74644D3A" w14:textId="77777777" w:rsidTr="008B7FED">
        <w:tc>
          <w:tcPr>
            <w:tcW w:w="2972" w:type="dxa"/>
          </w:tcPr>
          <w:p w14:paraId="6E76C4F3" w14:textId="77777777" w:rsidR="00CD3DA5" w:rsidRPr="00C87DF4" w:rsidRDefault="00CD3DA5" w:rsidP="00CD3DA5">
            <w:pPr>
              <w:numPr>
                <w:ilvl w:val="0"/>
                <w:numId w:val="37"/>
              </w:numPr>
              <w:spacing w:after="0" w:line="240" w:lineRule="auto"/>
              <w:ind w:left="447"/>
              <w:contextualSpacing/>
              <w:rPr>
                <w:rFonts w:ascii="Times New Roman" w:hAnsi="Times New Roman"/>
                <w:b/>
                <w:sz w:val="24"/>
                <w:szCs w:val="24"/>
                <w:lang w:eastAsia="ru-RU"/>
              </w:rPr>
            </w:pPr>
            <w:r w:rsidRPr="00C87DF4">
              <w:rPr>
                <w:rFonts w:ascii="Times New Roman" w:hAnsi="Times New Roman"/>
                <w:b/>
                <w:sz w:val="24"/>
                <w:szCs w:val="24"/>
                <w:lang w:eastAsia="ru-RU"/>
              </w:rPr>
              <w:t>Вартість ПВР</w:t>
            </w:r>
          </w:p>
        </w:tc>
        <w:tc>
          <w:tcPr>
            <w:tcW w:w="6804" w:type="dxa"/>
          </w:tcPr>
          <w:p w14:paraId="5D6E8800" w14:textId="77777777" w:rsidR="00CD3DA5" w:rsidRPr="00C87DF4" w:rsidRDefault="00CD3DA5" w:rsidP="008B7FED">
            <w:pPr>
              <w:spacing w:after="0" w:line="240" w:lineRule="auto"/>
              <w:rPr>
                <w:rFonts w:ascii="Times New Roman" w:hAnsi="Times New Roman"/>
                <w:sz w:val="24"/>
                <w:szCs w:val="24"/>
                <w:lang w:eastAsia="ru-RU"/>
              </w:rPr>
            </w:pPr>
            <w:r w:rsidRPr="00C87DF4">
              <w:rPr>
                <w:rFonts w:ascii="Times New Roman" w:hAnsi="Times New Roman"/>
                <w:sz w:val="24"/>
                <w:szCs w:val="24"/>
                <w:lang w:eastAsia="ru-RU"/>
              </w:rPr>
              <w:t>Визначити відповідно до КНУ «НАСТАНОВА з визначення вартості проєктних, науково-проєктних, вишукувальних робіт та експертизи проєктної документації на будівництво».</w:t>
            </w:r>
          </w:p>
        </w:tc>
      </w:tr>
    </w:tbl>
    <w:p w14:paraId="28B83EFB" w14:textId="4CE23703"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CD3DA5">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CD3DA5">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B6ED6C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D3DA5">
        <w:rPr>
          <w:rFonts w:ascii="Times New Roman" w:eastAsia="Times New Roman" w:hAnsi="Times New Roman" w:cs="Times New Roman"/>
          <w:sz w:val="24"/>
          <w:szCs w:val="24"/>
          <w:lang w:eastAsia="ru-RU"/>
        </w:rPr>
        <w:t>149 520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6417F">
        <w:rPr>
          <w:rFonts w:ascii="Times New Roman" w:eastAsia="Times New Roman" w:hAnsi="Times New Roman" w:cs="Times New Roman"/>
          <w:sz w:val="24"/>
          <w:szCs w:val="24"/>
          <w:lang w:eastAsia="ru-RU"/>
        </w:rPr>
        <w:t xml:space="preserve">шістдесят дві тисячі сто сорок </w:t>
      </w:r>
      <w:r w:rsidR="0086417F">
        <w:rPr>
          <w:rFonts w:ascii="Times New Roman" w:eastAsia="Times New Roman" w:hAnsi="Times New Roman" w:cs="Times New Roman"/>
          <w:sz w:val="24"/>
          <w:szCs w:val="24"/>
          <w:lang w:eastAsia="ru-RU"/>
        </w:rPr>
        <w:lastRenderedPageBreak/>
        <w:t>дві</w:t>
      </w:r>
      <w:r w:rsidR="00E1484E">
        <w:rPr>
          <w:rFonts w:ascii="Times New Roman" w:eastAsia="Times New Roman" w:hAnsi="Times New Roman" w:cs="Times New Roman"/>
          <w:sz w:val="24"/>
          <w:szCs w:val="24"/>
          <w:lang w:eastAsia="ru-RU"/>
        </w:rPr>
        <w:t xml:space="preserve"> грив</w:t>
      </w:r>
      <w:r w:rsidR="0086417F">
        <w:rPr>
          <w:rFonts w:ascii="Times New Roman" w:eastAsia="Times New Roman" w:hAnsi="Times New Roman" w:cs="Times New Roman"/>
          <w:sz w:val="24"/>
          <w:szCs w:val="24"/>
          <w:lang w:eastAsia="ru-RU"/>
        </w:rPr>
        <w:t>ні</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MyriadPro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1">
    <w:nsid w:val="1C1B70D8"/>
    <w:multiLevelType w:val="multilevel"/>
    <w:tmpl w:val="A574BFE2"/>
    <w:lvl w:ilvl="0">
      <w:start w:val="1"/>
      <w:numFmt w:val="decimal"/>
      <w:lvlText w:val="%1."/>
      <w:lvlJc w:val="left"/>
      <w:pPr>
        <w:ind w:left="720" w:hanging="360"/>
      </w:pPr>
      <w:rPr>
        <w:rFonts w:hint="default"/>
      </w:rPr>
    </w:lvl>
    <w:lvl w:ilvl="1">
      <w:start w:val="1"/>
      <w:numFmt w:val="decimal"/>
      <w:isLgl/>
      <w:lvlText w:val="%1.%2."/>
      <w:lvlJc w:val="left"/>
      <w:pPr>
        <w:ind w:left="622"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621B0168"/>
    <w:multiLevelType w:val="multilevel"/>
    <w:tmpl w:val="E5BC1FA6"/>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1">
    <w:nsid w:val="651809FF"/>
    <w:multiLevelType w:val="hybridMultilevel"/>
    <w:tmpl w:val="967ED4AA"/>
    <w:lvl w:ilvl="0" w:tplc="21482D3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8"/>
  </w:num>
  <w:num w:numId="10" w16cid:durableId="713892545">
    <w:abstractNumId w:val="33"/>
  </w:num>
  <w:num w:numId="11" w16cid:durableId="2031645203">
    <w:abstractNumId w:val="11"/>
  </w:num>
  <w:num w:numId="12" w16cid:durableId="1392928292">
    <w:abstractNumId w:val="16"/>
  </w:num>
  <w:num w:numId="13" w16cid:durableId="502626488">
    <w:abstractNumId w:val="35"/>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6"/>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7"/>
  </w:num>
  <w:num w:numId="36" w16cid:durableId="1737513576">
    <w:abstractNumId w:val="26"/>
  </w:num>
  <w:num w:numId="37" w16cid:durableId="178085907">
    <w:abstractNumId w:val="13"/>
  </w:num>
  <w:num w:numId="38" w16cid:durableId="402109">
    <w:abstractNumId w:val="32"/>
  </w:num>
  <w:num w:numId="39" w16cid:durableId="1879538805">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72E93"/>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3DA5"/>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1377</Words>
  <Characters>9381</Characters>
  <Application>Microsoft Office Word</Application>
  <DocSecurity>0</DocSecurity>
  <Lines>203</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2025-12-26T10:35:00Z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