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стендів пластикових інформаційних за ДК 021:2015: 30190000-7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012905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стендів пластикових інформаційних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Стенд пластиковий інформаційний </w:t>
            </w:r>
            <w:r/>
          </w:p>
          <w:p>
            <w:pPr>
              <w:pStyle w:val="692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(</w:t>
            </w:r>
            <w:r>
              <w:rPr>
                <w:rFonts w:eastAsia="Calibri"/>
                <w:b/>
                <w:bCs/>
                <w:lang w:val="ru-RU"/>
              </w:rPr>
              <w:t xml:space="preserve">розмір</w:t>
            </w:r>
            <w:r>
              <w:rPr>
                <w:rFonts w:eastAsia="Calibri"/>
                <w:b/>
                <w:bCs/>
                <w:lang w:val="ru-RU"/>
              </w:rPr>
              <w:t xml:space="preserve"> 1000*750 мм, </w:t>
            </w:r>
            <w:r>
              <w:rPr>
                <w:rFonts w:eastAsia="Calibri"/>
                <w:b/>
                <w:bCs/>
                <w:lang w:val="ru-RU"/>
              </w:rPr>
              <w:t xml:space="preserve">товщина</w:t>
            </w:r>
            <w:r>
              <w:rPr>
                <w:rFonts w:eastAsia="Calibri"/>
                <w:b/>
                <w:bCs/>
                <w:lang w:val="ru-RU"/>
              </w:rPr>
              <w:t xml:space="preserve"> пвх пластику 4 мм, </w:t>
            </w:r>
            <w:r>
              <w:rPr>
                <w:rFonts w:eastAsia="Calibri"/>
                <w:b/>
                <w:bCs/>
                <w:lang w:val="ru-RU"/>
              </w:rPr>
              <w:t xml:space="preserve">кишені</w:t>
            </w:r>
            <w:r>
              <w:rPr>
                <w:rFonts w:eastAsia="Calibri"/>
                <w:b/>
                <w:bCs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lang w:val="ru-RU"/>
              </w:rPr>
              <w:t xml:space="preserve">об’ємні</w:t>
            </w:r>
            <w:r>
              <w:rPr>
                <w:rFonts w:eastAsia="Calibri"/>
                <w:b/>
                <w:bCs/>
                <w:lang w:val="ru-RU"/>
              </w:rPr>
              <w:t xml:space="preserve"> - 8 </w:t>
            </w:r>
            <w:r>
              <w:rPr>
                <w:rFonts w:eastAsia="Calibri"/>
                <w:b/>
                <w:bCs/>
                <w:lang w:val="ru-RU"/>
              </w:rPr>
              <w:t xml:space="preserve">шт</w:t>
            </w:r>
            <w:r>
              <w:rPr>
                <w:rFonts w:eastAsia="Calibri"/>
                <w:b/>
                <w:bCs/>
                <w:lang w:val="ru-RU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 Доставка, розвантаження, монтаж,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проведення первинного технічного огляду, кінцева перевірка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Стенд пластиковий інформаційний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розмір 1000*750 мм, товщина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пвх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пластику 4 мм, кишені об’ємні (А4) - 8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шт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4 170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одна тисяча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сімдесят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139</cp:revision>
  <dcterms:created xsi:type="dcterms:W3CDTF">2022-11-01T12:47:00Z</dcterms:created>
  <dcterms:modified xsi:type="dcterms:W3CDTF">2023-09-14T07:15:31Z</dcterms:modified>
</cp:coreProperties>
</file>