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Коригування проектної документації стадія «Робочий проект» по об’єкту: «Капітальний ремонт будівлі слюсарної майстерні літ. «Р», м. Київ, вул. Волинська, 26» </w:t>
      </w:r>
      <w:r>
        <w:rPr>
          <w:b w:val="0"/>
          <w:bCs w:val="0"/>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001908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Коригування проектної документації стадія «Робочий проект» по об’єкту: «Капітальний ремонт будівлі слюсарної майстерні літ. «Р», м. Київ, вул. Волинська, 26» </w:t>
      </w:r>
      <w:r>
        <w:rPr>
          <w:rFonts w:ascii="Times New Roman" w:hAnsi="Times New Roman" w:cs="Times New Roman"/>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65"/>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32"/>
        <w:jc w:val="both"/>
        <w:spacing w:after="0"/>
        <w:rPr>
          <w:b/>
          <w:bCs/>
          <w:i/>
          <w:iCs/>
        </w:rPr>
      </w:pPr>
      <w:r>
        <w:rPr>
          <w:b/>
          <w:bCs/>
          <w:i/>
          <w:iCs/>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rPr>
                <w:rFonts w:ascii="Times New Roman" w:hAnsi="Times New Roman"/>
                <w:b/>
                <w:sz w:val="23"/>
                <w:szCs w:val="23"/>
              </w:rPr>
            </w:pPr>
            <w:r>
              <w:rPr>
                <w:rFonts w:ascii="Times New Roman" w:hAnsi="Times New Roman"/>
                <w:b/>
                <w:sz w:val="23"/>
                <w:szCs w:val="23"/>
              </w:rPr>
              <w:t xml:space="preserve">№ п/п</w:t>
            </w:r>
            <w:r/>
          </w:p>
        </w:tc>
        <w:tc>
          <w:tcPr>
            <w:tcW w:w="3592" w:type="dxa"/>
            <w:vAlign w:val="center"/>
            <w:textDirection w:val="lrTb"/>
            <w:noWrap w:val="false"/>
          </w:tcPr>
          <w:p>
            <w:pPr>
              <w:jc w:val="center"/>
              <w:rPr>
                <w:rFonts w:ascii="Times New Roman" w:hAnsi="Times New Roman"/>
                <w:b/>
                <w:sz w:val="23"/>
                <w:szCs w:val="23"/>
              </w:rPr>
            </w:pPr>
            <w:r>
              <w:rPr>
                <w:rFonts w:ascii="Times New Roman" w:hAnsi="Times New Roman"/>
                <w:b/>
                <w:sz w:val="23"/>
                <w:szCs w:val="23"/>
              </w:rPr>
              <w:t xml:space="preserve">Перелік основних </w:t>
            </w:r>
            <w:r/>
          </w:p>
          <w:p>
            <w:pPr>
              <w:jc w:val="center"/>
              <w:rPr>
                <w:rFonts w:ascii="Times New Roman" w:hAnsi="Times New Roman"/>
                <w:b/>
                <w:sz w:val="23"/>
                <w:szCs w:val="23"/>
              </w:rPr>
            </w:pPr>
            <w:r>
              <w:rPr>
                <w:rFonts w:ascii="Times New Roman" w:hAnsi="Times New Roman"/>
                <w:b/>
                <w:sz w:val="23"/>
                <w:szCs w:val="23"/>
              </w:rPr>
              <w:t xml:space="preserve">відомостей та вимог</w:t>
            </w:r>
            <w:r/>
          </w:p>
        </w:tc>
        <w:tc>
          <w:tcPr>
            <w:tcW w:w="6300" w:type="dxa"/>
            <w:vAlign w:val="center"/>
            <w:textDirection w:val="lrTb"/>
            <w:noWrap w:val="false"/>
          </w:tcPr>
          <w:p>
            <w:pPr>
              <w:jc w:val="center"/>
              <w:rPr>
                <w:rFonts w:ascii="Times New Roman" w:hAnsi="Times New Roman"/>
                <w:b/>
                <w:sz w:val="23"/>
                <w:szCs w:val="23"/>
              </w:rPr>
            </w:pPr>
            <w:r>
              <w:rPr>
                <w:rFonts w:ascii="Times New Roman" w:hAnsi="Times New Roman"/>
                <w:b/>
                <w:sz w:val="23"/>
                <w:szCs w:val="23"/>
              </w:rPr>
              <w:t xml:space="preserve">Зміст основних відомостей та  вимог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Назва та місцезнаходження об’єкту</w:t>
            </w:r>
            <w:r/>
          </w:p>
        </w:tc>
        <w:tc>
          <w:tcPr>
            <w:tcW w:w="6300" w:type="dxa"/>
            <w:vAlign w:val="center"/>
            <w:textDirection w:val="lrTb"/>
            <w:noWrap w:val="false"/>
          </w:tcPr>
          <w:p>
            <w:pPr>
              <w:jc w:val="both"/>
              <w:rPr>
                <w:rFonts w:ascii="Times New Roman" w:hAnsi="Times New Roman"/>
                <w:color w:val="000000"/>
                <w:sz w:val="23"/>
                <w:szCs w:val="23"/>
              </w:rPr>
            </w:pPr>
            <w:r>
              <w:rPr>
                <w:rFonts w:ascii="Times New Roman" w:hAnsi="Times New Roman"/>
                <w:sz w:val="24"/>
                <w:szCs w:val="24"/>
                <w:lang w:eastAsia="ru-RU"/>
              </w:rPr>
              <w:t xml:space="preserve">Капітальний ремонт будівлі слюсарної майстерні літ. «Р», м. Київ, вул. Волинська, 26</w:t>
            </w:r>
            <w:r>
              <w:rPr>
                <w:rFonts w:ascii="Times New Roman" w:hAnsi="Times New Roman"/>
                <w:sz w:val="24"/>
                <w:szCs w:val="24"/>
                <w:lang w:eastAsia="ru-RU"/>
              </w:rPr>
              <w:t xml:space="preserve"> (Коригування)</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w:t>
            </w:r>
            <w:r/>
          </w:p>
        </w:tc>
        <w:tc>
          <w:tcPr>
            <w:tcW w:w="3592"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Підстава для проектування</w:t>
            </w:r>
            <w:r/>
          </w:p>
        </w:tc>
        <w:tc>
          <w:tcPr>
            <w:tcW w:w="6300" w:type="dxa"/>
            <w:vAlign w:val="center"/>
            <w:textDirection w:val="lrTb"/>
            <w:noWrap w:val="false"/>
          </w:tcPr>
          <w:p>
            <w:pPr>
              <w:jc w:val="both"/>
              <w:rPr>
                <w:rFonts w:ascii="Times New Roman" w:hAnsi="Times New Roman"/>
                <w:sz w:val="24"/>
                <w:szCs w:val="24"/>
                <w:lang w:eastAsia="zh-CN"/>
              </w:rPr>
            </w:pPr>
            <w:r>
              <w:rPr>
                <w:rFonts w:ascii="Times New Roman" w:hAnsi="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3</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Вид будівництва</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Капітальний ремонт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4</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замовника</w:t>
            </w:r>
            <w:r/>
          </w:p>
        </w:tc>
        <w:tc>
          <w:tcPr>
            <w:tcW w:w="6300" w:type="dxa"/>
            <w:vAlign w:val="center"/>
            <w:textDirection w:val="lrTb"/>
            <w:noWrap w:val="false"/>
          </w:tcPr>
          <w:p>
            <w:pPr>
              <w:jc w:val="both"/>
              <w:rPr>
                <w:rFonts w:ascii="Times New Roman" w:hAnsi="Times New Roman"/>
                <w:sz w:val="23"/>
                <w:szCs w:val="23"/>
                <w:highlight w:val="yellow"/>
              </w:rPr>
            </w:pPr>
            <w:r>
              <w:rPr>
                <w:rFonts w:ascii="Times New Roman" w:hAnsi="Times New Roman"/>
                <w:sz w:val="23"/>
                <w:szCs w:val="23"/>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5</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Джерело фінансування</w:t>
            </w:r>
            <w:r/>
          </w:p>
        </w:tc>
        <w:tc>
          <w:tcPr>
            <w:tcW w:w="6300" w:type="dxa"/>
            <w:vAlign w:val="center"/>
            <w:textDirection w:val="lrTb"/>
            <w:noWrap w:val="false"/>
          </w:tcPr>
          <w:p>
            <w:pPr>
              <w:jc w:val="both"/>
              <w:tabs>
                <w:tab w:val="center" w:pos="4677" w:leader="none"/>
                <w:tab w:val="right" w:pos="9355" w:leader="none"/>
              </w:tabs>
              <w:rPr>
                <w:rFonts w:ascii="Times New Roman" w:hAnsi="Times New Roman"/>
                <w:sz w:val="23"/>
                <w:szCs w:val="23"/>
                <w:lang w:eastAsia="uk-UA"/>
              </w:rPr>
            </w:pPr>
            <w:r>
              <w:rPr>
                <w:rFonts w:ascii="Times New Roman" w:hAnsi="Times New Roman"/>
                <w:sz w:val="23"/>
                <w:szCs w:val="23"/>
                <w:lang w:eastAsia="uk-UA"/>
              </w:rPr>
              <w:t xml:space="preserve">Державний бюджет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генерального проектувальника</w:t>
            </w:r>
            <w:r/>
          </w:p>
        </w:tc>
        <w:tc>
          <w:tcPr>
            <w:tcW w:w="6300" w:type="dxa"/>
            <w:vAlign w:val="center"/>
            <w:textDirection w:val="lrTb"/>
            <w:noWrap w:val="false"/>
          </w:tcPr>
          <w:p>
            <w:pPr>
              <w:jc w:val="both"/>
              <w:rPr>
                <w:rFonts w:ascii="Times New Roman" w:hAnsi="Times New Roman"/>
                <w:sz w:val="23"/>
                <w:szCs w:val="23"/>
                <w:lang w:eastAsia="uk-UA"/>
              </w:rPr>
            </w:pPr>
            <w:r>
              <w:rPr>
                <w:rFonts w:ascii="Times New Roman" w:hAnsi="Times New Roman"/>
                <w:sz w:val="23"/>
                <w:szCs w:val="23"/>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7</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tabs>
                <w:tab w:val="left" w:pos="385" w:leader="none"/>
              </w:tabs>
              <w:rPr>
                <w:rFonts w:ascii="Times New Roman" w:hAnsi="Times New Roman" w:eastAsia="Arial Unicode MS"/>
                <w:color w:val="000000"/>
                <w:sz w:val="23"/>
                <w:szCs w:val="23"/>
                <w:lang w:eastAsia="uk-UA"/>
              </w:rPr>
            </w:pPr>
            <w:r>
              <w:rPr>
                <w:rFonts w:ascii="Times New Roman" w:hAnsi="Times New Roman" w:eastAsia="Arial Unicode MS"/>
                <w:color w:val="000000"/>
                <w:sz w:val="23"/>
                <w:szCs w:val="23"/>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8</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Інженерні вишукування</w:t>
            </w:r>
            <w:r/>
          </w:p>
        </w:tc>
        <w:tc>
          <w:tcPr>
            <w:shd w:val="clear" w:color="auto" w:fill="auto"/>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Не потрібно</w:t>
            </w:r>
            <w:r>
              <w:rPr>
                <w:rFonts w:ascii="Times New Roman" w:hAnsi="Times New Roman"/>
                <w:color w:val="000000"/>
                <w:sz w:val="23"/>
                <w:szCs w:val="23"/>
              </w:rPr>
              <w:t xml:space="preserve"> </w:t>
            </w:r>
            <w:r>
              <w:rPr>
                <w:rFonts w:ascii="Times New Roman" w:hAnsi="Times New Roman"/>
                <w:sz w:val="23"/>
                <w:szCs w:val="23"/>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9</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116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10</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СС1</w:t>
            </w:r>
            <w:r/>
          </w:p>
        </w:tc>
      </w:tr>
      <w:tr>
        <w:trPr>
          <w:jc w:val="center"/>
          <w:trHeight w:val="519"/>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11</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особливі умови будівництва </w:t>
            </w:r>
            <w:r/>
          </w:p>
        </w:tc>
        <w:tc>
          <w:tcPr>
            <w:tcW w:w="6300" w:type="dxa"/>
            <w:vAlign w:val="center"/>
            <w:textDirection w:val="lrTb"/>
            <w:noWrap w:val="false"/>
          </w:tcPr>
          <w:p>
            <w:pPr>
              <w:rPr>
                <w:rFonts w:ascii="Times New Roman" w:hAnsi="Times New Roman"/>
                <w:sz w:val="23"/>
                <w:szCs w:val="23"/>
              </w:rPr>
            </w:pPr>
            <w:r>
              <w:rPr>
                <w:rFonts w:ascii="Times New Roman" w:hAnsi="Times New Roman"/>
                <w:color w:val="000000"/>
                <w:sz w:val="23"/>
                <w:szCs w:val="23"/>
              </w:rPr>
              <w:t xml:space="preserve">Відсутні </w:t>
            </w:r>
            <w:r/>
          </w:p>
        </w:tc>
      </w:tr>
      <w:tr>
        <w:trPr>
          <w:jc w:val="center"/>
          <w:trHeight w:val="782"/>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12</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firstLine="24"/>
              <w:spacing w:after="0" w:line="276" w:lineRule="auto"/>
              <w:rPr>
                <w:rFonts w:ascii="Times New Roman" w:hAnsi="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rPr>
              <w:t xml:space="preserve">Одноповерхова будівля площею 458,5 м</w:t>
            </w:r>
            <w:r>
              <w:rPr>
                <w:rFonts w:ascii="Times New Roman" w:hAnsi="Times New Roman"/>
                <w:color w:val="000000"/>
                <w:sz w:val="24"/>
                <w:szCs w:val="24"/>
                <w:vertAlign w:val="superscript"/>
              </w:rPr>
              <w:t xml:space="preserve">2</w:t>
            </w:r>
            <w:r>
              <w:rPr>
                <w:rFonts w:ascii="Times New Roman" w:hAnsi="Times New Roman"/>
                <w:color w:val="000000"/>
                <w:sz w:val="24"/>
                <w:szCs w:val="24"/>
              </w:rPr>
              <w:t xml:space="preserve">, покрівля скатна (облицьована </w:t>
            </w:r>
            <w:r>
              <w:rPr>
                <w:rFonts w:ascii="Times New Roman" w:hAnsi="Times New Roman"/>
                <w:color w:val="000000"/>
                <w:sz w:val="24"/>
                <w:szCs w:val="24"/>
              </w:rPr>
              <w:t xml:space="preserve">металопрофілем</w:t>
            </w:r>
            <w:r>
              <w:rPr>
                <w:rFonts w:ascii="Times New Roman" w:hAnsi="Times New Roman"/>
                <w:color w:val="000000"/>
                <w:sz w:val="24"/>
                <w:szCs w:val="24"/>
              </w:rPr>
              <w:t xml:space="preserve">). Виконати опорядження фасаду </w:t>
            </w:r>
            <w:r>
              <w:rPr>
                <w:rFonts w:ascii="Times New Roman" w:hAnsi="Times New Roman"/>
                <w:color w:val="000000"/>
                <w:sz w:val="24"/>
                <w:szCs w:val="24"/>
              </w:rPr>
              <w:t xml:space="preserve">металосайдингом</w:t>
            </w:r>
            <w:r>
              <w:rPr>
                <w:rFonts w:ascii="Times New Roman" w:hAnsi="Times New Roman"/>
                <w:color w:val="000000"/>
                <w:sz w:val="24"/>
                <w:szCs w:val="24"/>
              </w:rPr>
              <w:t xml:space="preserve">, внутрішнє опорядження, мережі водопостачання та каналізації, система пожежної безпеки та системи оповіщення, блискавкозахист. </w:t>
            </w:r>
            <w:r/>
          </w:p>
        </w:tc>
      </w:tr>
      <w:tr>
        <w:trPr>
          <w:jc w:val="center"/>
          <w:trHeight w:val="94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13</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Черговість будівництва, необхідність виділення пускових комплексів </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 одну чергу </w:t>
            </w:r>
            <w:r/>
          </w:p>
        </w:tc>
      </w:tr>
      <w:tr>
        <w:trPr>
          <w:jc w:val="center"/>
          <w:trHeight w:val="58"/>
        </w:trPr>
        <w:tc>
          <w:tcPr>
            <w:tcW w:w="0" w:type="auto"/>
            <w:vAlign w:val="center"/>
            <w:vMerge w:val="restart"/>
            <w:textDirection w:val="lrTb"/>
            <w:noWrap w:val="false"/>
          </w:tcPr>
          <w:p>
            <w:pPr>
              <w:jc w:val="center"/>
              <w:rPr>
                <w:rFonts w:ascii="Times New Roman" w:hAnsi="Times New Roman"/>
                <w:sz w:val="23"/>
                <w:szCs w:val="23"/>
              </w:rPr>
            </w:pPr>
            <w:r>
              <w:rPr>
                <w:rFonts w:ascii="Times New Roman" w:hAnsi="Times New Roman"/>
                <w:sz w:val="23"/>
                <w:szCs w:val="23"/>
              </w:rPr>
              <w:t xml:space="preserve">14</w:t>
            </w:r>
            <w:r/>
          </w:p>
        </w:tc>
        <w:tc>
          <w:tcPr>
            <w:gridSpan w:val="2"/>
            <w:tcW w:w="98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1) розроблення індивідуальних технічних вимог;</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92"/>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3) Попередні погодження проектних рішень;</w:t>
            </w:r>
            <w:r/>
          </w:p>
        </w:tc>
        <w:tc>
          <w:tcPr>
            <w:tcW w:w="6300" w:type="dxa"/>
            <w:vAlign w:val="center"/>
            <w:textDirection w:val="lrTb"/>
            <w:noWrap w:val="false"/>
          </w:tcPr>
          <w:p>
            <w:pPr>
              <w:numPr>
                <w:ilvl w:val="0"/>
                <w:numId w:val="39"/>
              </w:numPr>
              <w:contextualSpacing/>
              <w:ind w:left="0"/>
              <w:jc w:val="both"/>
              <w:rPr>
                <w:rFonts w:ascii="Times New Roman" w:hAnsi="Times New Roman"/>
                <w:color w:val="000000"/>
                <w:sz w:val="23"/>
                <w:szCs w:val="23"/>
              </w:rPr>
            </w:pPr>
            <w:r>
              <w:rPr>
                <w:rFonts w:ascii="Times New Roman" w:hAnsi="Times New Roman"/>
                <w:color w:val="000000"/>
                <w:sz w:val="23"/>
                <w:szCs w:val="23"/>
              </w:rPr>
              <w:t xml:space="preserve">Відсутні</w:t>
            </w:r>
            <w:r/>
          </w:p>
        </w:tc>
      </w:tr>
      <w:tr>
        <w:trPr>
          <w:jc w:val="center"/>
          <w:trHeight w:val="101"/>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 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sz w:val="23"/>
                <w:szCs w:val="23"/>
              </w:rPr>
            </w:pPr>
            <w:r>
              <w:rPr>
                <w:rFonts w:ascii="Times New Roman" w:hAnsi="Times New Roman"/>
                <w:sz w:val="23"/>
                <w:szCs w:val="23"/>
              </w:rPr>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6). Технічний захист інформації</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діючого договору</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15</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Потужність або характеристика об’єкта, виробнича програма.</w:t>
            </w:r>
            <w:r/>
          </w:p>
        </w:tc>
        <w:tc>
          <w:tcPr>
            <w:tcW w:w="6300" w:type="dxa"/>
            <w:textDirection w:val="lrTb"/>
            <w:noWrap w:val="false"/>
          </w:tcPr>
          <w:p>
            <w:pPr>
              <w:shd w:val="clear" w:color="auto" w:fill="ffffff"/>
              <w:rPr>
                <w:rFonts w:ascii="Times New Roman" w:hAnsi="Times New Roman"/>
                <w:sz w:val="23"/>
                <w:szCs w:val="23"/>
                <w:shd w:val="clear" w:color="auto" w:fill="ffffff"/>
              </w:rPr>
            </w:pPr>
            <w:r>
              <w:rPr>
                <w:rFonts w:ascii="Times New Roman" w:hAnsi="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благоустрою майданчика</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17</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18</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157"/>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19</w:t>
            </w:r>
            <w:r/>
          </w:p>
        </w:tc>
        <w:tc>
          <w:tcPr>
            <w:tcW w:w="3592"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Вимоги з енергозбереження та енергоефективності.</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діючих нормативів </w:t>
            </w:r>
            <w:r/>
          </w:p>
        </w:tc>
      </w:tr>
      <w:tr>
        <w:trPr>
          <w:jc w:val="center"/>
          <w:trHeight w:val="127"/>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20</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142"/>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21</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режиму безпеки та охорони праці</w:t>
            </w:r>
            <w:r/>
          </w:p>
        </w:tc>
        <w:tc>
          <w:tcPr>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діючих нормативів</w:t>
            </w:r>
            <w:r/>
          </w:p>
        </w:tc>
      </w:tr>
      <w:tr>
        <w:trPr>
          <w:jc w:val="center"/>
          <w:trHeight w:val="18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22</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23</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систем протипожежного захисту об’єкту.</w:t>
            </w:r>
            <w:r/>
          </w:p>
        </w:tc>
        <w:tc>
          <w:tcPr>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Згідно діючого законодавства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24</w:t>
            </w:r>
            <w:r/>
          </w:p>
        </w:tc>
        <w:tc>
          <w:tcPr>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Містобудівні вимоги щодо території</w:t>
            </w:r>
            <w:r/>
          </w:p>
        </w:tc>
        <w:tc>
          <w:tcPr>
            <w:tcW w:w="6300" w:type="dxa"/>
            <w:vAlign w:val="center"/>
            <w:textDirection w:val="lrTb"/>
            <w:noWrap w:val="false"/>
          </w:tcPr>
          <w:p>
            <w:pPr>
              <w:jc w:val="both"/>
              <w:rPr>
                <w:rFonts w:ascii="Times New Roman" w:hAnsi="Times New Roman"/>
              </w:rPr>
            </w:pPr>
            <w:r>
              <w:rPr>
                <w:rFonts w:ascii="Times New Roman" w:hAnsi="Times New Roman"/>
                <w:sz w:val="23"/>
                <w:szCs w:val="23"/>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25</w:t>
            </w:r>
            <w:r/>
          </w:p>
        </w:tc>
        <w:tc>
          <w:tcPr>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Призначення нежитлових будівель</w:t>
            </w:r>
            <w:r/>
          </w:p>
        </w:tc>
        <w:tc>
          <w:tcPr>
            <w:tcW w:w="6300" w:type="dxa"/>
            <w:vAlign w:val="center"/>
            <w:textDirection w:val="lrTb"/>
            <w:noWrap w:val="false"/>
          </w:tcPr>
          <w:p>
            <w:pPr>
              <w:tabs>
                <w:tab w:val="left" w:pos="241" w:leader="none"/>
              </w:tabs>
              <w:rPr>
                <w:rFonts w:ascii="Times New Roman" w:hAnsi="Times New Roman"/>
                <w:sz w:val="23"/>
                <w:szCs w:val="23"/>
              </w:rPr>
            </w:pPr>
            <w:r>
              <w:rPr>
                <w:rFonts w:ascii="Times New Roman" w:hAnsi="Times New Roman"/>
                <w:sz w:val="23"/>
                <w:szCs w:val="23"/>
              </w:rPr>
              <w:t xml:space="preserve">Складські приміщення та гаражі </w:t>
            </w:r>
            <w:r/>
          </w:p>
        </w:tc>
      </w:tr>
      <w:tr>
        <w:trPr>
          <w:jc w:val="center"/>
          <w:trHeight w:val="150"/>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26</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w:t>
            </w:r>
            <w:r>
              <w:rPr>
                <w:rFonts w:ascii="Times New Roman" w:hAnsi="Times New Roman"/>
                <w:sz w:val="23"/>
                <w:szCs w:val="23"/>
              </w:rPr>
              <w:t xml:space="preserve">інклюзивності</w:t>
            </w:r>
            <w:r>
              <w:rPr>
                <w:rFonts w:ascii="Times New Roman" w:hAnsi="Times New Roman"/>
                <w:sz w:val="23"/>
                <w:szCs w:val="23"/>
              </w:rPr>
              <w:t xml:space="preserve"> об’єкту</w:t>
            </w:r>
            <w:r/>
          </w:p>
        </w:tc>
        <w:tc>
          <w:tcPr>
            <w:tcW w:w="6300" w:type="dxa"/>
            <w:vAlign w:val="center"/>
            <w:textDirection w:val="lrTb"/>
            <w:noWrap w:val="false"/>
          </w:tcPr>
          <w:p>
            <w:pPr>
              <w:jc w:val="both"/>
              <w:tabs>
                <w:tab w:val="left" w:pos="241" w:leader="none"/>
              </w:tabs>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58"/>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27</w:t>
            </w:r>
            <w:r/>
          </w:p>
        </w:tc>
        <w:tc>
          <w:tcPr>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39"/>
              </w:numPr>
              <w:contextualSpacing/>
              <w:ind w:left="0"/>
              <w:rPr>
                <w:rFonts w:ascii="Times New Roman" w:hAnsi="Times New Roman"/>
                <w:sz w:val="23"/>
                <w:szCs w:val="23"/>
              </w:rPr>
            </w:pPr>
            <w:r>
              <w:rPr>
                <w:rFonts w:ascii="Times New Roman" w:hAnsi="Times New Roman"/>
                <w:sz w:val="24"/>
                <w:szCs w:val="24"/>
                <w:lang w:eastAsia="zh-CN"/>
              </w:rPr>
              <w:t xml:space="preserve">Б</w:t>
            </w:r>
            <w:r>
              <w:rPr>
                <w:rFonts w:ascii="Times New Roman" w:hAnsi="Times New Roman"/>
                <w:sz w:val="24"/>
                <w:szCs w:val="24"/>
                <w:lang w:eastAsia="zh-CN"/>
              </w:rPr>
              <w:t xml:space="preserve">удівля </w:t>
            </w:r>
            <w:r>
              <w:rPr>
                <w:rFonts w:ascii="Times New Roman" w:hAnsi="Times New Roman"/>
                <w:sz w:val="24"/>
                <w:szCs w:val="24"/>
                <w:lang w:eastAsia="zh-CN"/>
              </w:rPr>
              <w:t xml:space="preserve">майстерні </w:t>
            </w:r>
            <w:r>
              <w:rPr>
                <w:rFonts w:ascii="Times New Roman" w:hAnsi="Times New Roman"/>
                <w:sz w:val="24"/>
                <w:szCs w:val="24"/>
                <w:lang w:eastAsia="zh-CN"/>
              </w:rPr>
              <w:t xml:space="preserve">літ. «</w:t>
            </w:r>
            <w:r>
              <w:rPr>
                <w:rFonts w:ascii="Times New Roman" w:hAnsi="Times New Roman"/>
                <w:sz w:val="24"/>
                <w:szCs w:val="24"/>
                <w:lang w:eastAsia="zh-CN"/>
              </w:rPr>
              <w:t xml:space="preserve">Р</w:t>
            </w:r>
            <w:r>
              <w:rPr>
                <w:rFonts w:ascii="Times New Roman" w:hAnsi="Times New Roman"/>
                <w:sz w:val="24"/>
                <w:szCs w:val="24"/>
                <w:lang w:eastAsia="zh-CN"/>
              </w:rPr>
              <w:t xml:space="preserve">»</w:t>
            </w:r>
            <w:r/>
          </w:p>
        </w:tc>
      </w:tr>
      <w:tr>
        <w:trPr>
          <w:jc w:val="center"/>
          <w:trHeight w:val="19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28</w:t>
            </w:r>
            <w:r/>
          </w:p>
        </w:tc>
        <w:tc>
          <w:tcPr>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Кількість примірників кошторисної документації</w:t>
            </w:r>
            <w:r/>
          </w:p>
        </w:tc>
        <w:tc>
          <w:tcPr>
            <w:tcW w:w="6300" w:type="dxa"/>
            <w:vAlign w:val="center"/>
            <w:textDirection w:val="lrTb"/>
            <w:noWrap w:val="false"/>
          </w:tcPr>
          <w:p>
            <w:pPr>
              <w:jc w:val="both"/>
              <w:rPr>
                <w:rFonts w:ascii="Times New Roman" w:hAnsi="Times New Roman"/>
                <w:color w:val="000000"/>
                <w:sz w:val="23"/>
                <w:szCs w:val="23"/>
              </w:rPr>
            </w:pPr>
            <w:r>
              <w:rPr>
                <w:rFonts w:ascii="Times New Roman" w:hAnsi="Times New Roman"/>
                <w:color w:val="000000"/>
                <w:sz w:val="23"/>
                <w:szCs w:val="23"/>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29</w:t>
            </w:r>
            <w:r/>
          </w:p>
        </w:tc>
        <w:tc>
          <w:tcPr>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Основні вимоги до проектування</w:t>
            </w:r>
            <w:r/>
          </w:p>
        </w:tc>
        <w:tc>
          <w:tcPr>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Розробити наступні розділи: Архітектурні рішення</w:t>
            </w:r>
            <w:r>
              <w:rPr>
                <w:rFonts w:ascii="Times New Roman" w:hAnsi="Times New Roman"/>
                <w:sz w:val="23"/>
                <w:szCs w:val="23"/>
              </w:rPr>
              <w:t xml:space="preserve">;</w:t>
            </w:r>
            <w:r/>
          </w:p>
          <w:p>
            <w:pPr>
              <w:jc w:val="both"/>
              <w:spacing w:after="0"/>
              <w:rPr>
                <w:rFonts w:ascii="Times New Roman" w:hAnsi="Times New Roman"/>
                <w:sz w:val="23"/>
                <w:szCs w:val="23"/>
              </w:rPr>
            </w:pPr>
            <w:r>
              <w:rPr>
                <w:rFonts w:ascii="Times New Roman" w:hAnsi="Times New Roman"/>
                <w:sz w:val="23"/>
                <w:szCs w:val="23"/>
              </w:rPr>
              <w:t xml:space="preserve">Внутрішні інженерні мережі (водопостачання, каналізація, електропостачання); Паспорт опорядження фасадів; Блискавкозахист; Пожежна безпека, система оповіщення;</w:t>
            </w:r>
            <w:r/>
          </w:p>
          <w:p>
            <w:pPr>
              <w:jc w:val="both"/>
              <w:spacing w:after="0"/>
              <w:rPr>
                <w:rFonts w:ascii="Times New Roman" w:hAnsi="Times New Roman"/>
                <w:sz w:val="23"/>
                <w:szCs w:val="23"/>
              </w:rPr>
            </w:pPr>
            <w:r>
              <w:rPr>
                <w:rFonts w:ascii="Times New Roman" w:hAnsi="Times New Roman"/>
                <w:sz w:val="23"/>
                <w:szCs w:val="23"/>
              </w:rPr>
              <w:t xml:space="preserve">Кошторисна документація </w:t>
            </w:r>
            <w:r/>
          </w:p>
        </w:tc>
      </w:tr>
      <w:tr>
        <w:trPr>
          <w:jc w:val="center"/>
          <w:trHeight w:val="127"/>
        </w:trPr>
        <w:tc>
          <w:tcPr>
            <w:tcW w:w="0" w:type="auto"/>
            <w:vAlign w:val="center"/>
            <w:textDirection w:val="lrTb"/>
            <w:noWrap w:val="false"/>
          </w:tcPr>
          <w:p>
            <w:pPr>
              <w:jc w:val="center"/>
              <w:spacing w:after="0"/>
              <w:rPr>
                <w:rFonts w:ascii="Times New Roman" w:hAnsi="Times New Roman"/>
                <w:sz w:val="23"/>
                <w:szCs w:val="23"/>
              </w:rPr>
            </w:pPr>
            <w:r>
              <w:rPr>
                <w:rFonts w:ascii="Times New Roman" w:hAnsi="Times New Roman"/>
                <w:sz w:val="23"/>
                <w:szCs w:val="23"/>
              </w:rPr>
              <w:t xml:space="preserve">30</w:t>
            </w:r>
            <w:r/>
          </w:p>
        </w:tc>
        <w:tc>
          <w:tcPr>
            <w:tcW w:w="3592" w:type="dxa"/>
            <w:vAlign w:val="center"/>
            <w:textDirection w:val="lrTb"/>
            <w:noWrap w:val="false"/>
          </w:tcPr>
          <w:p>
            <w:pPr>
              <w:spacing w:after="0"/>
              <w:rPr>
                <w:rFonts w:ascii="Times New Roman" w:hAnsi="Times New Roman"/>
                <w:sz w:val="23"/>
                <w:szCs w:val="23"/>
              </w:rPr>
            </w:pPr>
            <w:r>
              <w:rPr>
                <w:rFonts w:ascii="Times New Roman" w:hAnsi="Times New Roman"/>
                <w:sz w:val="23"/>
                <w:szCs w:val="23"/>
              </w:rPr>
              <w:t xml:space="preserve">Вимоги до кошторисної документації.</w:t>
            </w:r>
            <w:r/>
          </w:p>
        </w:tc>
        <w:tc>
          <w:tcPr>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1. Кошторисна документація має бути розрах</w:t>
            </w:r>
            <w:r>
              <w:rPr>
                <w:rFonts w:ascii="Times New Roman" w:hAnsi="Times New Roman"/>
                <w:sz w:val="23"/>
                <w:szCs w:val="23"/>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rPr>
                <w:rFonts w:ascii="Times New Roman" w:hAnsi="Times New Roman"/>
                <w:sz w:val="23"/>
                <w:szCs w:val="23"/>
              </w:rPr>
            </w:pPr>
            <w:r>
              <w:rPr>
                <w:rFonts w:ascii="Times New Roman" w:hAnsi="Times New Roman"/>
                <w:sz w:val="23"/>
                <w:szCs w:val="23"/>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w:t>
            </w:r>
            <w:r>
              <w:rPr>
                <w:rFonts w:ascii="Times New Roman" w:hAnsi="Times New Roman"/>
                <w:sz w:val="23"/>
                <w:szCs w:val="23"/>
              </w:rPr>
              <w:t xml:space="preserve"> кошторисної частини</w:t>
            </w:r>
            <w:r>
              <w:rPr>
                <w:rFonts w:ascii="Times New Roman" w:hAnsi="Times New Roman"/>
                <w:sz w:val="23"/>
                <w:szCs w:val="23"/>
              </w:rPr>
              <w:t xml:space="preserve">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sz w:val="24"/>
          <w:szCs w:val="24"/>
        </w:rPr>
      </w:pPr>
      <w:r>
        <w:rPr>
          <w:rFonts w:ascii="Times New Roman" w:hAnsi="Times New Roman"/>
          <w:sz w:val="24"/>
          <w:szCs w:val="24"/>
        </w:rPr>
        <w:t xml:space="preserve">Вартість про</w:t>
      </w:r>
      <w:r>
        <w:rPr>
          <w:rFonts w:ascii="Times New Roman" w:hAnsi="Times New Roman"/>
          <w:sz w:val="24"/>
          <w:szCs w:val="24"/>
        </w:rPr>
        <w:t xml:space="preserve">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w:t>
      </w:r>
      <w:r>
        <w:rPr>
          <w:rFonts w:ascii="Times New Roman" w:hAnsi="Times New Roman"/>
          <w:sz w:val="24"/>
          <w:szCs w:val="24"/>
        </w:rPr>
        <w:t xml:space="preserve"> яка затверджена наказом Міністерства розвитку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w:t>
      </w:r>
      <w:r>
        <w:rPr>
          <w:rFonts w:ascii="Times New Roman" w:hAnsi="Times New Roman"/>
          <w:sz w:val="24"/>
          <w:szCs w:val="24"/>
        </w:rPr>
        <w:t xml:space="preserve"> та файлу з програмно-апаратного комплексу</w:t>
      </w:r>
      <w:r>
        <w:rPr>
          <w:rFonts w:ascii="Times New Roman" w:hAnsi="Times New Roman"/>
          <w:sz w:val="24"/>
          <w:szCs w:val="24"/>
        </w:rPr>
        <w:t xml:space="preserve">, що підтверджують дану вимогу.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sz w:val="24"/>
          <w:szCs w:val="24"/>
        </w:rPr>
        <w:t xml:space="preserve">внести</w:t>
      </w:r>
      <w:r>
        <w:rPr>
          <w:rFonts w:ascii="Times New Roman" w:hAnsi="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w:t>
      </w:r>
      <w:r>
        <w:rPr>
          <w:rFonts w:ascii="Times New Roman" w:hAnsi="Times New Roman"/>
          <w:sz w:val="24"/>
          <w:szCs w:val="24"/>
        </w:rPr>
        <w:t xml:space="preserve">капітального ремонту</w:t>
      </w:r>
      <w:r>
        <w:rPr>
          <w:rFonts w:ascii="Times New Roman" w:hAnsi="Times New Roman"/>
          <w:sz w:val="24"/>
          <w:szCs w:val="24"/>
        </w:rPr>
        <w:t xml:space="preserve">, за яким необхідно виконати проектні роботи, знаходиться у м. </w:t>
      </w:r>
      <w:r>
        <w:rPr>
          <w:rFonts w:ascii="Times New Roman" w:hAnsi="Times New Roman"/>
          <w:sz w:val="24"/>
          <w:szCs w:val="24"/>
        </w:rPr>
        <w:t xml:space="preserve">Київ, вул. Волинська, 26.</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highlight w:val="yellow"/>
        </w:rPr>
      </w:pPr>
      <w:r>
        <w:rPr>
          <w:rFonts w:ascii="Times New Roman" w:hAnsi="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firstLine="567"/>
        <w:jc w:val="both"/>
        <w:spacing w:after="0"/>
        <w:rPr>
          <w:rFonts w:ascii="Times New Roman" w:hAnsi="Times New Roman"/>
          <w:sz w:val="24"/>
          <w:szCs w:val="24"/>
          <w:lang w:eastAsia="uk-UA"/>
        </w:rPr>
      </w:pPr>
      <w:r>
        <w:rPr>
          <w:rFonts w:ascii="Times New Roman" w:hAnsi="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sz w:val="24"/>
          <w:szCs w:val="24"/>
        </w:rPr>
        <w:t xml:space="preserve">кошторисної частини </w:t>
      </w:r>
      <w:r>
        <w:rPr>
          <w:rFonts w:ascii="Times New Roman" w:hAnsi="Times New Roman"/>
          <w:sz w:val="24"/>
          <w:szCs w:val="24"/>
        </w:rPr>
        <w:t xml:space="preserve">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160 000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сто шістдесят тисяч</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1"/>
    <w:next w:val="72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5"/>
    <w:link w:val="12"/>
    <w:uiPriority w:val="9"/>
    <w:rPr>
      <w:rFonts w:ascii="Arial" w:hAnsi="Arial" w:eastAsia="Arial" w:cs="Arial"/>
      <w:sz w:val="40"/>
      <w:szCs w:val="40"/>
    </w:rPr>
  </w:style>
  <w:style w:type="character" w:styleId="15">
    <w:name w:val="Heading 2 Char"/>
    <w:basedOn w:val="725"/>
    <w:link w:val="722"/>
    <w:uiPriority w:val="9"/>
    <w:rPr>
      <w:rFonts w:ascii="Arial" w:hAnsi="Arial" w:eastAsia="Arial" w:cs="Arial"/>
      <w:sz w:val="34"/>
    </w:rPr>
  </w:style>
  <w:style w:type="character" w:styleId="17">
    <w:name w:val="Heading 3 Char"/>
    <w:basedOn w:val="725"/>
    <w:link w:val="723"/>
    <w:uiPriority w:val="9"/>
    <w:rPr>
      <w:rFonts w:ascii="Arial" w:hAnsi="Arial" w:eastAsia="Arial" w:cs="Arial"/>
      <w:sz w:val="30"/>
      <w:szCs w:val="30"/>
    </w:rPr>
  </w:style>
  <w:style w:type="character" w:styleId="19">
    <w:name w:val="Heading 4 Char"/>
    <w:basedOn w:val="725"/>
    <w:link w:val="724"/>
    <w:uiPriority w:val="9"/>
    <w:rPr>
      <w:rFonts w:ascii="Arial" w:hAnsi="Arial" w:eastAsia="Arial" w:cs="Arial"/>
      <w:b/>
      <w:bCs/>
      <w:sz w:val="26"/>
      <w:szCs w:val="26"/>
    </w:rPr>
  </w:style>
  <w:style w:type="paragraph" w:styleId="20">
    <w:name w:val="Heading 5"/>
    <w:basedOn w:val="721"/>
    <w:next w:val="72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5"/>
    <w:link w:val="20"/>
    <w:uiPriority w:val="9"/>
    <w:rPr>
      <w:rFonts w:ascii="Arial" w:hAnsi="Arial" w:eastAsia="Arial" w:cs="Arial"/>
      <w:b/>
      <w:bCs/>
      <w:sz w:val="24"/>
      <w:szCs w:val="24"/>
    </w:rPr>
  </w:style>
  <w:style w:type="paragraph" w:styleId="22">
    <w:name w:val="Heading 6"/>
    <w:basedOn w:val="721"/>
    <w:next w:val="72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5"/>
    <w:link w:val="22"/>
    <w:uiPriority w:val="9"/>
    <w:rPr>
      <w:rFonts w:ascii="Arial" w:hAnsi="Arial" w:eastAsia="Arial" w:cs="Arial"/>
      <w:b/>
      <w:bCs/>
      <w:sz w:val="22"/>
      <w:szCs w:val="22"/>
    </w:rPr>
  </w:style>
  <w:style w:type="paragraph" w:styleId="24">
    <w:name w:val="Heading 7"/>
    <w:basedOn w:val="721"/>
    <w:next w:val="72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5"/>
    <w:link w:val="24"/>
    <w:uiPriority w:val="9"/>
    <w:rPr>
      <w:rFonts w:ascii="Arial" w:hAnsi="Arial" w:eastAsia="Arial" w:cs="Arial"/>
      <w:b/>
      <w:bCs/>
      <w:i/>
      <w:iCs/>
      <w:sz w:val="22"/>
      <w:szCs w:val="22"/>
    </w:rPr>
  </w:style>
  <w:style w:type="paragraph" w:styleId="26">
    <w:name w:val="Heading 8"/>
    <w:basedOn w:val="721"/>
    <w:next w:val="72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5"/>
    <w:link w:val="26"/>
    <w:uiPriority w:val="9"/>
    <w:rPr>
      <w:rFonts w:ascii="Arial" w:hAnsi="Arial" w:eastAsia="Arial" w:cs="Arial"/>
      <w:i/>
      <w:iCs/>
      <w:sz w:val="22"/>
      <w:szCs w:val="22"/>
    </w:rPr>
  </w:style>
  <w:style w:type="paragraph" w:styleId="28">
    <w:name w:val="Heading 9"/>
    <w:basedOn w:val="721"/>
    <w:next w:val="72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5"/>
    <w:link w:val="28"/>
    <w:uiPriority w:val="9"/>
    <w:rPr>
      <w:rFonts w:ascii="Arial" w:hAnsi="Arial" w:eastAsia="Arial" w:cs="Arial"/>
      <w:i/>
      <w:iCs/>
      <w:sz w:val="21"/>
      <w:szCs w:val="21"/>
    </w:rPr>
  </w:style>
  <w:style w:type="paragraph" w:styleId="33">
    <w:name w:val="Title"/>
    <w:basedOn w:val="721"/>
    <w:next w:val="721"/>
    <w:link w:val="34"/>
    <w:uiPriority w:val="10"/>
    <w:qFormat/>
    <w:pPr>
      <w:contextualSpacing/>
      <w:spacing w:before="300" w:after="200"/>
    </w:pPr>
    <w:rPr>
      <w:sz w:val="48"/>
      <w:szCs w:val="48"/>
    </w:rPr>
  </w:style>
  <w:style w:type="character" w:styleId="34">
    <w:name w:val="Title Char"/>
    <w:basedOn w:val="725"/>
    <w:link w:val="33"/>
    <w:uiPriority w:val="10"/>
    <w:rPr>
      <w:sz w:val="48"/>
      <w:szCs w:val="48"/>
    </w:rPr>
  </w:style>
  <w:style w:type="paragraph" w:styleId="35">
    <w:name w:val="Subtitle"/>
    <w:basedOn w:val="721"/>
    <w:next w:val="721"/>
    <w:link w:val="36"/>
    <w:uiPriority w:val="11"/>
    <w:qFormat/>
    <w:pPr>
      <w:spacing w:before="200" w:after="200"/>
    </w:pPr>
    <w:rPr>
      <w:sz w:val="24"/>
      <w:szCs w:val="24"/>
    </w:rPr>
  </w:style>
  <w:style w:type="character" w:styleId="36">
    <w:name w:val="Subtitle Char"/>
    <w:basedOn w:val="725"/>
    <w:link w:val="35"/>
    <w:uiPriority w:val="11"/>
    <w:rPr>
      <w:sz w:val="24"/>
      <w:szCs w:val="24"/>
    </w:rPr>
  </w:style>
  <w:style w:type="paragraph" w:styleId="37">
    <w:name w:val="Quote"/>
    <w:basedOn w:val="721"/>
    <w:next w:val="721"/>
    <w:link w:val="38"/>
    <w:uiPriority w:val="29"/>
    <w:qFormat/>
    <w:pPr>
      <w:ind w:left="720" w:right="720"/>
    </w:pPr>
    <w:rPr>
      <w:i/>
    </w:rPr>
  </w:style>
  <w:style w:type="character" w:styleId="38">
    <w:name w:val="Quote Char"/>
    <w:link w:val="37"/>
    <w:uiPriority w:val="29"/>
    <w:rPr>
      <w:i/>
    </w:rPr>
  </w:style>
  <w:style w:type="paragraph" w:styleId="39">
    <w:name w:val="Intense Quote"/>
    <w:basedOn w:val="721"/>
    <w:next w:val="72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1"/>
    <w:link w:val="42"/>
    <w:uiPriority w:val="99"/>
    <w:unhideWhenUsed/>
    <w:pPr>
      <w:spacing w:after="0" w:line="240" w:lineRule="auto"/>
      <w:tabs>
        <w:tab w:val="center" w:pos="7143" w:leader="none"/>
        <w:tab w:val="right" w:pos="14287" w:leader="none"/>
      </w:tabs>
    </w:pPr>
  </w:style>
  <w:style w:type="character" w:styleId="42">
    <w:name w:val="Header Char"/>
    <w:basedOn w:val="725"/>
    <w:link w:val="41"/>
    <w:uiPriority w:val="99"/>
  </w:style>
  <w:style w:type="character" w:styleId="44">
    <w:name w:val="Footer Char"/>
    <w:basedOn w:val="725"/>
    <w:link w:val="734"/>
    <w:uiPriority w:val="99"/>
  </w:style>
  <w:style w:type="paragraph" w:styleId="45">
    <w:name w:val="Caption"/>
    <w:basedOn w:val="721"/>
    <w:next w:val="721"/>
    <w:uiPriority w:val="35"/>
    <w:semiHidden/>
    <w:unhideWhenUsed/>
    <w:qFormat/>
    <w:pPr>
      <w:spacing w:line="276" w:lineRule="auto"/>
    </w:pPr>
    <w:rPr>
      <w:b/>
      <w:bCs/>
      <w:color w:val="4f81bd" w:themeColor="accent1"/>
      <w:sz w:val="18"/>
      <w:szCs w:val="18"/>
    </w:rPr>
  </w:style>
  <w:style w:type="character" w:styleId="46">
    <w:name w:val="Caption Char"/>
    <w:basedOn w:val="45"/>
    <w:link w:val="734"/>
    <w:uiPriority w:val="99"/>
  </w:style>
  <w:style w:type="table" w:styleId="48">
    <w:name w:val="Table Grid Light"/>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5"/>
    <w:uiPriority w:val="99"/>
    <w:unhideWhenUsed/>
    <w:rPr>
      <w:vertAlign w:val="superscript"/>
    </w:rPr>
  </w:style>
  <w:style w:type="paragraph" w:styleId="177">
    <w:name w:val="endnote text"/>
    <w:basedOn w:val="72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5"/>
    <w:uiPriority w:val="99"/>
    <w:semiHidden/>
    <w:unhideWhenUsed/>
    <w:rPr>
      <w:vertAlign w:val="superscript"/>
    </w:rPr>
  </w:style>
  <w:style w:type="paragraph" w:styleId="180">
    <w:name w:val="toc 1"/>
    <w:basedOn w:val="721"/>
    <w:next w:val="721"/>
    <w:uiPriority w:val="39"/>
    <w:unhideWhenUsed/>
    <w:pPr>
      <w:ind w:left="0" w:right="0" w:firstLine="0"/>
      <w:spacing w:after="57"/>
    </w:pPr>
  </w:style>
  <w:style w:type="paragraph" w:styleId="181">
    <w:name w:val="toc 2"/>
    <w:basedOn w:val="721"/>
    <w:next w:val="721"/>
    <w:uiPriority w:val="39"/>
    <w:unhideWhenUsed/>
    <w:pPr>
      <w:ind w:left="283" w:right="0" w:firstLine="0"/>
      <w:spacing w:after="57"/>
    </w:pPr>
  </w:style>
  <w:style w:type="paragraph" w:styleId="182">
    <w:name w:val="toc 3"/>
    <w:basedOn w:val="721"/>
    <w:next w:val="721"/>
    <w:uiPriority w:val="39"/>
    <w:unhideWhenUsed/>
    <w:pPr>
      <w:ind w:left="567" w:right="0" w:firstLine="0"/>
      <w:spacing w:after="57"/>
    </w:pPr>
  </w:style>
  <w:style w:type="paragraph" w:styleId="183">
    <w:name w:val="toc 4"/>
    <w:basedOn w:val="721"/>
    <w:next w:val="721"/>
    <w:uiPriority w:val="39"/>
    <w:unhideWhenUsed/>
    <w:pPr>
      <w:ind w:left="850" w:right="0" w:firstLine="0"/>
      <w:spacing w:after="57"/>
    </w:pPr>
  </w:style>
  <w:style w:type="paragraph" w:styleId="184">
    <w:name w:val="toc 5"/>
    <w:basedOn w:val="721"/>
    <w:next w:val="721"/>
    <w:uiPriority w:val="39"/>
    <w:unhideWhenUsed/>
    <w:pPr>
      <w:ind w:left="1134" w:right="0" w:firstLine="0"/>
      <w:spacing w:after="57"/>
    </w:pPr>
  </w:style>
  <w:style w:type="paragraph" w:styleId="185">
    <w:name w:val="toc 6"/>
    <w:basedOn w:val="721"/>
    <w:next w:val="721"/>
    <w:uiPriority w:val="39"/>
    <w:unhideWhenUsed/>
    <w:pPr>
      <w:ind w:left="1417" w:right="0" w:firstLine="0"/>
      <w:spacing w:after="57"/>
    </w:pPr>
  </w:style>
  <w:style w:type="paragraph" w:styleId="186">
    <w:name w:val="toc 7"/>
    <w:basedOn w:val="721"/>
    <w:next w:val="721"/>
    <w:uiPriority w:val="39"/>
    <w:unhideWhenUsed/>
    <w:pPr>
      <w:ind w:left="1701" w:right="0" w:firstLine="0"/>
      <w:spacing w:after="57"/>
    </w:pPr>
  </w:style>
  <w:style w:type="paragraph" w:styleId="187">
    <w:name w:val="toc 8"/>
    <w:basedOn w:val="721"/>
    <w:next w:val="721"/>
    <w:uiPriority w:val="39"/>
    <w:unhideWhenUsed/>
    <w:pPr>
      <w:ind w:left="1984" w:right="0" w:firstLine="0"/>
      <w:spacing w:after="57"/>
    </w:pPr>
  </w:style>
  <w:style w:type="paragraph" w:styleId="188">
    <w:name w:val="toc 9"/>
    <w:basedOn w:val="721"/>
    <w:next w:val="72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1"/>
    <w:next w:val="721"/>
    <w:uiPriority w:val="99"/>
    <w:unhideWhenUsed/>
    <w:pPr>
      <w:spacing w:after="0" w:afterAutospacing="0"/>
    </w:pPr>
  </w:style>
  <w:style w:type="paragraph" w:styleId="721" w:default="1">
    <w:name w:val="Normal"/>
    <w:qFormat/>
    <w:rPr>
      <w:lang w:val="uk-UA"/>
    </w:rPr>
  </w:style>
  <w:style w:type="paragraph" w:styleId="722">
    <w:name w:val="Heading 2"/>
    <w:basedOn w:val="721"/>
    <w:link w:val="74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3">
    <w:name w:val="Heading 3"/>
    <w:basedOn w:val="721"/>
    <w:next w:val="721"/>
    <w:link w:val="76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4">
    <w:name w:val="Heading 4"/>
    <w:basedOn w:val="721"/>
    <w:next w:val="721"/>
    <w:link w:val="76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5" w:default="1">
    <w:name w:val="Default Paragraph Font"/>
    <w:uiPriority w:val="1"/>
    <w:semiHidden/>
    <w:unhideWhenUsed/>
  </w:style>
  <w:style w:type="table" w:styleId="726" w:default="1">
    <w:name w:val="Normal Table"/>
    <w:uiPriority w:val="99"/>
    <w:semiHidden/>
    <w:unhideWhenUsed/>
    <w:tblPr>
      <w:tblInd w:w="0" w:type="dxa"/>
      <w:tblCellMar>
        <w:left w:w="108" w:type="dxa"/>
        <w:top w:w="0" w:type="dxa"/>
        <w:right w:w="108" w:type="dxa"/>
        <w:bottom w:w="0" w:type="dxa"/>
      </w:tblCellMar>
    </w:tblPr>
  </w:style>
  <w:style w:type="numbering" w:styleId="727" w:default="1">
    <w:name w:val="No List"/>
    <w:uiPriority w:val="99"/>
    <w:semiHidden/>
    <w:unhideWhenUsed/>
  </w:style>
  <w:style w:type="paragraph" w:styleId="728">
    <w:name w:val="List Paragraph"/>
    <w:basedOn w:val="721"/>
    <w:link w:val="729"/>
    <w:uiPriority w:val="34"/>
    <w:qFormat/>
    <w:pPr>
      <w:contextualSpacing/>
      <w:ind w:left="720"/>
      <w:spacing w:after="200" w:line="276" w:lineRule="auto"/>
    </w:pPr>
    <w:rPr>
      <w:rFonts w:ascii="Calibri" w:hAnsi="Calibri" w:eastAsia="Calibri" w:cs="Calibri"/>
      <w:lang w:val="ru-RU" w:eastAsia="zh-CN"/>
    </w:rPr>
  </w:style>
  <w:style w:type="character" w:styleId="729" w:customStyle="1">
    <w:name w:val="Абзац списку Знак"/>
    <w:link w:val="728"/>
    <w:uiPriority w:val="34"/>
    <w:qFormat/>
    <w:rPr>
      <w:rFonts w:ascii="Calibri" w:hAnsi="Calibri" w:eastAsia="Calibri" w:cs="Calibri"/>
      <w:lang w:eastAsia="zh-CN"/>
    </w:rPr>
  </w:style>
  <w:style w:type="table" w:styleId="730">
    <w:name w:val="Table Grid"/>
    <w:basedOn w:val="72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1" w:customStyle="1">
    <w:name w:val="Сетка таблицы2"/>
    <w:basedOn w:val="726"/>
    <w:next w:val="73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Normal (Web)"/>
    <w:basedOn w:val="721"/>
    <w:link w:val="739"/>
    <w:unhideWhenUsed/>
    <w:qFormat/>
    <w:rPr>
      <w:rFonts w:ascii="Times New Roman" w:hAnsi="Times New Roman" w:cs="Times New Roman"/>
      <w:sz w:val="24"/>
      <w:szCs w:val="24"/>
    </w:rPr>
  </w:style>
  <w:style w:type="table" w:styleId="733" w:customStyle="1">
    <w:name w:val="Сетка таблицы1"/>
    <w:basedOn w:val="726"/>
    <w:next w:val="73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4">
    <w:name w:val="Footer"/>
    <w:basedOn w:val="721"/>
    <w:link w:val="73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5" w:customStyle="1">
    <w:name w:val="Нижній колонтитул Знак"/>
    <w:basedOn w:val="725"/>
    <w:link w:val="734"/>
    <w:uiPriority w:val="99"/>
    <w:rPr>
      <w:rFonts w:ascii="Calibri" w:hAnsi="Calibri" w:eastAsia="Calibri" w:cs="Calibri"/>
      <w:lang w:eastAsia="zh-CN"/>
    </w:rPr>
  </w:style>
  <w:style w:type="paragraph" w:styleId="73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7">
    <w:name w:val="Hyperlink"/>
    <w:basedOn w:val="725"/>
    <w:uiPriority w:val="99"/>
    <w:unhideWhenUsed/>
    <w:rPr>
      <w:color w:val="0563c1" w:themeColor="hyperlink"/>
      <w:u w:val="single"/>
    </w:rPr>
  </w:style>
  <w:style w:type="character" w:styleId="738" w:customStyle="1">
    <w:name w:val="xfm_93972720"/>
    <w:basedOn w:val="725"/>
  </w:style>
  <w:style w:type="character" w:styleId="739" w:customStyle="1">
    <w:name w:val="Звичайний (веб) Знак"/>
    <w:link w:val="732"/>
    <w:qFormat/>
    <w:rPr>
      <w:rFonts w:ascii="Times New Roman" w:hAnsi="Times New Roman" w:cs="Times New Roman"/>
      <w:sz w:val="24"/>
      <w:szCs w:val="24"/>
      <w:lang w:val="uk-UA"/>
    </w:rPr>
  </w:style>
  <w:style w:type="paragraph" w:styleId="740">
    <w:name w:val="Body Text 2"/>
    <w:basedOn w:val="721"/>
    <w:link w:val="741"/>
    <w:pPr>
      <w:spacing w:after="0" w:line="240" w:lineRule="auto"/>
    </w:pPr>
    <w:rPr>
      <w:rFonts w:ascii="Times New Roman" w:hAnsi="Times New Roman" w:eastAsia="Times New Roman" w:cs="Times New Roman"/>
      <w:sz w:val="28"/>
      <w:szCs w:val="20"/>
      <w:lang w:val="ru-RU" w:eastAsia="ru-RU"/>
    </w:rPr>
  </w:style>
  <w:style w:type="character" w:styleId="741" w:customStyle="1">
    <w:name w:val="Основний текст 2 Знак"/>
    <w:basedOn w:val="725"/>
    <w:link w:val="740"/>
    <w:rPr>
      <w:rFonts w:ascii="Times New Roman" w:hAnsi="Times New Roman" w:eastAsia="Times New Roman" w:cs="Times New Roman"/>
      <w:sz w:val="28"/>
      <w:szCs w:val="20"/>
      <w:lang w:eastAsia="ru-RU"/>
    </w:rPr>
  </w:style>
  <w:style w:type="paragraph" w:styleId="74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3" w:customStyle="1">
    <w:name w:val="Заголовок 2 Знак"/>
    <w:basedOn w:val="725"/>
    <w:link w:val="722"/>
    <w:uiPriority w:val="9"/>
    <w:rPr>
      <w:rFonts w:ascii="Times New Roman" w:hAnsi="Times New Roman" w:eastAsia="Times New Roman" w:cs="Times New Roman"/>
      <w:b/>
      <w:bCs/>
      <w:sz w:val="36"/>
      <w:szCs w:val="36"/>
      <w:lang w:val="uk-UA" w:eastAsia="uk-UA"/>
    </w:rPr>
  </w:style>
  <w:style w:type="paragraph" w:styleId="744">
    <w:name w:val="No Spacing"/>
    <w:link w:val="745"/>
    <w:uiPriority w:val="1"/>
    <w:qFormat/>
    <w:pPr>
      <w:spacing w:after="0" w:line="240" w:lineRule="auto"/>
    </w:pPr>
    <w:rPr>
      <w:rFonts w:ascii="Calibri" w:hAnsi="Calibri" w:eastAsia="Calibri" w:cs="Times New Roman"/>
      <w:lang w:val="uk-UA"/>
    </w:rPr>
  </w:style>
  <w:style w:type="character" w:styleId="745" w:customStyle="1">
    <w:name w:val="Без інтервалів Знак"/>
    <w:basedOn w:val="725"/>
    <w:link w:val="744"/>
    <w:uiPriority w:val="1"/>
    <w:rPr>
      <w:rFonts w:ascii="Calibri" w:hAnsi="Calibri" w:eastAsia="Calibri" w:cs="Times New Roman"/>
      <w:lang w:val="uk-UA"/>
    </w:rPr>
  </w:style>
  <w:style w:type="character" w:styleId="746" w:customStyle="1">
    <w:name w:val="Другое_"/>
    <w:basedOn w:val="725"/>
    <w:link w:val="747"/>
    <w:rPr>
      <w:rFonts w:ascii="Calibri" w:hAnsi="Calibri" w:eastAsia="Calibri" w:cs="Calibri"/>
      <w:sz w:val="20"/>
      <w:szCs w:val="20"/>
    </w:rPr>
  </w:style>
  <w:style w:type="paragraph" w:styleId="747" w:customStyle="1">
    <w:name w:val="Другое"/>
    <w:basedOn w:val="721"/>
    <w:link w:val="746"/>
    <w:qFormat/>
    <w:pPr>
      <w:spacing w:after="0" w:line="240" w:lineRule="auto"/>
      <w:widowControl w:val="off"/>
    </w:pPr>
    <w:rPr>
      <w:rFonts w:ascii="Calibri" w:hAnsi="Calibri" w:eastAsia="Calibri" w:cs="Calibri"/>
      <w:sz w:val="20"/>
      <w:szCs w:val="20"/>
      <w:lang w:val="ru-RU"/>
    </w:rPr>
  </w:style>
  <w:style w:type="paragraph" w:styleId="74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9" w:customStyle="1">
    <w:name w:val="Основной текст (2)_"/>
    <w:basedOn w:val="725"/>
    <w:link w:val="750"/>
    <w:rPr>
      <w:rFonts w:eastAsia="Times New Roman" w:cs="Times New Roman"/>
      <w:shd w:val="clear" w:color="auto" w:fill="ffffff"/>
    </w:rPr>
  </w:style>
  <w:style w:type="paragraph" w:styleId="750" w:customStyle="1">
    <w:name w:val="Основной текст (2)"/>
    <w:basedOn w:val="721"/>
    <w:link w:val="749"/>
    <w:pPr>
      <w:ind w:hanging="700"/>
      <w:jc w:val="both"/>
      <w:spacing w:before="240" w:after="480" w:line="0" w:lineRule="atLeast"/>
      <w:shd w:val="clear" w:color="auto" w:fill="ffffff"/>
      <w:widowControl w:val="off"/>
    </w:pPr>
    <w:rPr>
      <w:rFonts w:eastAsia="Times New Roman" w:cs="Times New Roman"/>
      <w:lang w:val="ru-RU"/>
    </w:rPr>
  </w:style>
  <w:style w:type="character" w:styleId="751" w:customStyle="1">
    <w:name w:val="Текст у виносці Знак"/>
    <w:basedOn w:val="725"/>
    <w:link w:val="752"/>
    <w:uiPriority w:val="99"/>
    <w:semiHidden/>
    <w:rPr>
      <w:rFonts w:ascii="Segoe UI" w:hAnsi="Segoe UI" w:eastAsia="Times New Roman" w:cs="Segoe UI"/>
      <w:sz w:val="18"/>
      <w:szCs w:val="18"/>
      <w:lang w:eastAsia="ru-RU"/>
    </w:rPr>
  </w:style>
  <w:style w:type="paragraph" w:styleId="752">
    <w:name w:val="Balloon Text"/>
    <w:basedOn w:val="721"/>
    <w:link w:val="75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3" w:customStyle="1">
    <w:name w:val="Текст у виносці Знак1"/>
    <w:basedOn w:val="725"/>
    <w:uiPriority w:val="99"/>
    <w:semiHidden/>
    <w:rPr>
      <w:rFonts w:ascii="Segoe UI" w:hAnsi="Segoe UI" w:cs="Segoe UI"/>
      <w:sz w:val="18"/>
      <w:szCs w:val="18"/>
      <w:lang w:val="uk-UA"/>
    </w:rPr>
  </w:style>
  <w:style w:type="character" w:styleId="754" w:customStyle="1">
    <w:name w:val="T23"/>
    <w:rPr>
      <w:rFonts w:hint="default" w:ascii="Times New Roman" w:hAnsi="Times New Roman" w:eastAsia="Times New Roman1" w:cs="Times New Roman"/>
    </w:rPr>
  </w:style>
  <w:style w:type="paragraph" w:styleId="755" w:customStyle="1">
    <w:name w:val="Абзац списку1"/>
    <w:basedOn w:val="72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6" w:customStyle="1">
    <w:name w:val="markedcontent"/>
    <w:basedOn w:val="725"/>
  </w:style>
  <w:style w:type="paragraph" w:styleId="757">
    <w:name w:val="annotation text"/>
    <w:basedOn w:val="721"/>
    <w:link w:val="75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8" w:customStyle="1">
    <w:name w:val="Текст примітки Знак"/>
    <w:basedOn w:val="725"/>
    <w:link w:val="757"/>
    <w:uiPriority w:val="99"/>
    <w:rPr>
      <w:rFonts w:ascii="Times New Roman" w:hAnsi="Times New Roman" w:eastAsia="Times New Roman" w:cs="Times New Roman"/>
      <w:sz w:val="20"/>
      <w:szCs w:val="20"/>
      <w:lang w:eastAsia="ru-RU"/>
    </w:rPr>
  </w:style>
  <w:style w:type="character" w:styleId="759" w:customStyle="1">
    <w:name w:val="docdata"/>
    <w:basedOn w:val="725"/>
  </w:style>
  <w:style w:type="character" w:styleId="760" w:customStyle="1">
    <w:name w:val="Заголовок 3 Знак"/>
    <w:basedOn w:val="725"/>
    <w:link w:val="723"/>
    <w:uiPriority w:val="9"/>
    <w:semiHidden/>
    <w:rPr>
      <w:rFonts w:asciiTheme="majorHAnsi" w:hAnsiTheme="majorHAnsi" w:eastAsiaTheme="majorEastAsia" w:cstheme="majorBidi"/>
      <w:color w:val="1f4d78" w:themeColor="accent1" w:themeShade="7F"/>
      <w:sz w:val="24"/>
      <w:szCs w:val="24"/>
      <w:lang w:val="uk-UA"/>
    </w:rPr>
  </w:style>
  <w:style w:type="character" w:styleId="761" w:customStyle="1">
    <w:name w:val="Заголовок 4 Знак"/>
    <w:basedOn w:val="725"/>
    <w:link w:val="724"/>
    <w:uiPriority w:val="9"/>
    <w:semiHidden/>
    <w:rPr>
      <w:rFonts w:asciiTheme="majorHAnsi" w:hAnsiTheme="majorHAnsi" w:eastAsiaTheme="majorEastAsia" w:cstheme="majorBidi"/>
      <w:i/>
      <w:iCs/>
      <w:color w:val="2e74b5" w:themeColor="accent1" w:themeShade="BF"/>
      <w:lang w:val="uk-UA"/>
    </w:rPr>
  </w:style>
  <w:style w:type="paragraph" w:styleId="762" w:customStyle="1">
    <w:name w:val="name-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3" w:customStyle="1">
    <w:name w:val="cont-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4">
    <w:name w:val="Strong"/>
    <w:basedOn w:val="725"/>
    <w:uiPriority w:val="22"/>
    <w:qFormat/>
    <w:rPr>
      <w:b/>
      <w:bCs/>
    </w:rPr>
  </w:style>
  <w:style w:type="paragraph" w:styleId="765"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169</cp:revision>
  <dcterms:created xsi:type="dcterms:W3CDTF">2022-11-01T12:47:00Z</dcterms:created>
  <dcterms:modified xsi:type="dcterms:W3CDTF">2024-02-27T16:54:55Z</dcterms:modified>
</cp:coreProperties>
</file>