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rFonts w:eastAsiaTheme="minorHAnsi"/>
          <w:b w:val="0"/>
          <w:sz w:val="24"/>
          <w:szCs w:val="24"/>
          <w:lang w:eastAsia="en-US"/>
        </w:rPr>
        <w:t xml:space="preserve">Послуга обов’язкового страхування цивільно-правової відповідальності власників наземних транспортних засобів за кодом  CPV за ЄЗС ДК 021:2015: 66510000-8 «Страхові послуги»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7837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Послуга обов’язкового страхування цивільно-правової відповідальності власників наземних транспортних засобів за кодом  CPV за ЄЗС ДК 021:2015: 66510000-8 «Страхові послуги»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 </w:t>
      </w: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транспортних засобів, що підлягають обов’язковому страхуванню цивільно-правової відповідальності</w:t>
      </w: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r>
      <w:r/>
    </w:p>
    <w:tbl>
      <w:tblPr>
        <w:tblW w:w="10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5"/>
        <w:gridCol w:w="2302"/>
        <w:gridCol w:w="1276"/>
        <w:gridCol w:w="2553"/>
        <w:gridCol w:w="992"/>
        <w:gridCol w:w="1134"/>
        <w:gridCol w:w="1453"/>
      </w:tblGrid>
      <w:tr>
        <w:trPr/>
        <w:tc>
          <w:tcPr>
            <w:tcBorders>
              <w:top w:val="single" w:color="auto" w:sz="4" w:space="0"/>
              <w:left w:val="single" w:color="auto" w:sz="4" w:space="0"/>
              <w:bottom w:val="single" w:color="auto" w:sz="4" w:space="0"/>
              <w:right w:val="single" w:color="auto" w:sz="4" w:space="0"/>
            </w:tcBorders>
            <w:tcW w:w="534" w:type="dxa"/>
            <w:vAlign w:val="center"/>
            <w:textDirection w:val="lrTb"/>
            <w:noWrap w:val="false"/>
          </w:tcPr>
          <w:p>
            <w:pPr>
              <w:jc w:val="center"/>
              <w:spacing w:line="240" w:lineRule="auto"/>
              <w:rPr>
                <w:rFonts w:ascii="Times New Roman" w:hAnsi="Times New Roman" w:cs="Times New Roman"/>
                <w:b/>
                <w:sz w:val="24"/>
                <w:szCs w:val="24"/>
                <w:lang w:val="ru-RU"/>
              </w:rPr>
            </w:pPr>
            <w:r>
              <w:rPr>
                <w:rFonts w:ascii="Times New Roman" w:hAnsi="Times New Roman" w:cs="Times New Roman"/>
                <w:b/>
                <w:sz w:val="24"/>
                <w:szCs w:val="24"/>
              </w:rPr>
              <w:t xml:space="preserve">№</w:t>
            </w: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з/п</w:t>
            </w:r>
            <w:r/>
          </w:p>
        </w:tc>
        <w:tc>
          <w:tcPr>
            <w:tcBorders>
              <w:top w:val="single" w:color="auto" w:sz="4" w:space="0"/>
              <w:left w:val="single" w:color="auto" w:sz="4" w:space="0"/>
              <w:bottom w:val="single" w:color="auto" w:sz="4" w:space="0"/>
              <w:right w:val="single" w:color="auto" w:sz="4" w:space="0"/>
            </w:tcBorders>
            <w:tcW w:w="2301" w:type="dxa"/>
            <w:vAlign w:val="center"/>
            <w:textDirection w:val="lrTb"/>
            <w:noWrap w:val="false"/>
          </w:tcPr>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Модель</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Номерний</w:t>
            </w: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знак</w:t>
            </w:r>
            <w:r/>
          </w:p>
        </w:tc>
        <w:tc>
          <w:tcPr>
            <w:tcBorders>
              <w:top w:val="single" w:color="auto" w:sz="4" w:space="0"/>
              <w:left w:val="single" w:color="auto" w:sz="4" w:space="0"/>
              <w:bottom w:val="single" w:color="auto" w:sz="4" w:space="0"/>
              <w:right w:val="single" w:color="auto" w:sz="4" w:space="0"/>
            </w:tcBorders>
            <w:tcW w:w="2552" w:type="dxa"/>
            <w:vAlign w:val="center"/>
            <w:textDirection w:val="lrTb"/>
            <w:noWrap w:val="false"/>
          </w:tcPr>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 кузова (шасі) / VIN</w:t>
            </w: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ind w:left="-108" w:right="-108"/>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Об’єм</w:t>
            </w:r>
            <w:r/>
          </w:p>
          <w:p>
            <w:pPr>
              <w:ind w:left="-108" w:right="-108"/>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двигуна</w:t>
            </w:r>
            <w:r/>
          </w:p>
          <w:p>
            <w:pPr>
              <w:ind w:left="-108" w:right="-108"/>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куб.см</w:t>
            </w:r>
            <w:r>
              <w:rPr>
                <w:rFonts w:ascii="Times New Roman" w:hAnsi="Times New Roman" w:cs="Times New Roman"/>
                <w:b/>
                <w:sz w:val="24"/>
                <w:szCs w:val="24"/>
              </w:rPr>
              <w:t xml:space="preserve"> </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ind w:left="-108" w:right="-108"/>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Місце реєстрації ТЗ</w:t>
            </w:r>
            <w:r/>
          </w:p>
        </w:tc>
        <w:tc>
          <w:tcPr>
            <w:tcBorders>
              <w:top w:val="single" w:color="auto" w:sz="4" w:space="0"/>
              <w:left w:val="single" w:color="auto" w:sz="4" w:space="0"/>
              <w:bottom w:val="single" w:color="auto" w:sz="4" w:space="0"/>
              <w:right w:val="single" w:color="auto" w:sz="4" w:space="0"/>
            </w:tcBorders>
            <w:tcW w:w="1452" w:type="dxa"/>
            <w:vAlign w:val="center"/>
            <w:textDirection w:val="lrTb"/>
            <w:noWrap w:val="false"/>
          </w:tcPr>
          <w:p>
            <w:pPr>
              <w:ind w:left="-107" w:right="-108"/>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Термін страхування</w:t>
            </w:r>
            <w:r/>
          </w:p>
          <w:p>
            <w:pPr>
              <w:ind w:left="-107" w:right="-108"/>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з</w:t>
            </w:r>
            <w:r/>
          </w:p>
        </w:tc>
      </w:tr>
      <w:tr>
        <w:trPr/>
        <w:tc>
          <w:tcPr>
            <w:tcBorders>
              <w:top w:val="single" w:color="auto" w:sz="4" w:space="0"/>
              <w:left w:val="single" w:color="auto" w:sz="4" w:space="0"/>
              <w:bottom w:val="single" w:color="auto" w:sz="4" w:space="0"/>
              <w:right w:val="single" w:color="auto" w:sz="4" w:space="0"/>
            </w:tcBorders>
            <w:tcW w:w="534"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auto" w:sz="4" w:space="0"/>
              <w:left w:val="single" w:color="auto" w:sz="4" w:space="0"/>
              <w:bottom w:val="single" w:color="auto" w:sz="4" w:space="0"/>
              <w:right w:val="single" w:color="auto" w:sz="4" w:space="0"/>
            </w:tcBorders>
            <w:tcW w:w="2301" w:type="dxa"/>
            <w:vAlign w:val="center"/>
            <w:textDirection w:val="lrTb"/>
            <w:noWrap w:val="false"/>
          </w:tcPr>
          <w:p>
            <w:pPr>
              <w:spacing w:line="240" w:lineRule="auto"/>
              <w:rPr>
                <w:rFonts w:ascii="Times New Roman" w:hAnsi="Times New Roman" w:cs="Times New Roman"/>
                <w:sz w:val="24"/>
                <w:szCs w:val="24"/>
                <w:lang w:val="ru-RU"/>
              </w:rPr>
            </w:pPr>
            <w:r>
              <w:rPr>
                <w:rFonts w:ascii="Times New Roman" w:hAnsi="Times New Roman" w:cs="Times New Roman"/>
                <w:bCs/>
                <w:sz w:val="24"/>
                <w:szCs w:val="24"/>
              </w:rPr>
              <w:t xml:space="preserve">МАЗ-437040</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ind w:left="-108" w:right="-108"/>
              <w:jc w:val="center"/>
              <w:spacing w:line="240" w:lineRule="auto"/>
              <w:rPr>
                <w:rFonts w:ascii="Times New Roman" w:hAnsi="Times New Roman" w:cs="Times New Roman"/>
                <w:color w:val="000000"/>
                <w:sz w:val="24"/>
                <w:szCs w:val="24"/>
              </w:rPr>
            </w:pPr>
            <w:r>
              <w:rPr>
                <w:rFonts w:ascii="Times New Roman" w:hAnsi="Times New Roman" w:cs="Times New Roman"/>
                <w:bCs/>
                <w:sz w:val="24"/>
                <w:szCs w:val="24"/>
              </w:rPr>
              <w:t xml:space="preserve">АА5666ВЕ</w:t>
            </w:r>
            <w:r/>
          </w:p>
        </w:tc>
        <w:tc>
          <w:tcPr>
            <w:tcBorders>
              <w:top w:val="single" w:color="auto" w:sz="4" w:space="0"/>
              <w:left w:val="single" w:color="auto" w:sz="4" w:space="0"/>
              <w:bottom w:val="single" w:color="auto" w:sz="4" w:space="0"/>
              <w:right w:val="single" w:color="auto" w:sz="4" w:space="0"/>
            </w:tcBorders>
            <w:tcW w:w="2552" w:type="dxa"/>
            <w:vAlign w:val="center"/>
            <w:textDirection w:val="lrTb"/>
            <w:noWrap w:val="false"/>
          </w:tcPr>
          <w:p>
            <w:pPr>
              <w:spacing w:line="240" w:lineRule="auto"/>
              <w:rPr>
                <w:rFonts w:ascii="Times New Roman" w:hAnsi="Times New Roman" w:cs="Times New Roman"/>
                <w:sz w:val="24"/>
                <w:szCs w:val="24"/>
              </w:rPr>
            </w:pPr>
            <w:r>
              <w:rPr>
                <w:rFonts w:ascii="Times New Roman" w:hAnsi="Times New Roman" w:cs="Times New Roman"/>
                <w:bCs/>
                <w:sz w:val="24"/>
                <w:szCs w:val="24"/>
              </w:rPr>
              <w:t xml:space="preserve">43704040002851</w:t>
            </w: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Cs/>
                <w:sz w:val="24"/>
                <w:szCs w:val="24"/>
              </w:rPr>
              <w:t xml:space="preserve">4750</w:t>
            </w: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Київ</w:t>
            </w:r>
            <w:r/>
          </w:p>
        </w:tc>
        <w:tc>
          <w:tcPr>
            <w:tcBorders>
              <w:top w:val="single" w:color="auto" w:sz="4" w:space="0"/>
              <w:left w:val="single" w:color="auto" w:sz="4" w:space="0"/>
              <w:bottom w:val="single" w:color="auto" w:sz="4" w:space="0"/>
              <w:right w:val="single" w:color="auto" w:sz="4" w:space="0"/>
            </w:tcBorders>
            <w:tcW w:w="1452" w:type="dxa"/>
            <w:textDirection w:val="lrTb"/>
            <w:noWrap w:val="false"/>
          </w:tcPr>
          <w:p>
            <w:pPr>
              <w:ind w:left="-108" w:right="-108"/>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03.06.2024</w:t>
            </w:r>
            <w:r/>
          </w:p>
        </w:tc>
      </w:tr>
    </w:tbl>
    <w:p>
      <w:pPr>
        <w:spacing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якісні, кількісні та інші вимоги до предмета закупівлі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Предмет закупівлі — послуги зі страхування транспортних засобів.</w:t>
      </w:r>
      <w:r/>
    </w:p>
    <w:p>
      <w:pPr>
        <w:ind w:firstLine="567"/>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Строк дії страхового поліса </w:t>
      </w:r>
      <w:r>
        <w:rPr>
          <w:rFonts w:ascii="Times New Roman" w:hAnsi="Times New Roman" w:cs="Times New Roman"/>
          <w:sz w:val="24"/>
          <w:szCs w:val="24"/>
        </w:rPr>
        <w:t xml:space="preserve">—</w:t>
      </w:r>
      <w:r>
        <w:rPr>
          <w:rFonts w:ascii="Times New Roman" w:hAnsi="Times New Roman" w:eastAsia="Calibri" w:cs="Times New Roman"/>
          <w:sz w:val="24"/>
          <w:szCs w:val="24"/>
        </w:rPr>
        <w:t xml:space="preserve"> 1 рік.</w:t>
      </w:r>
      <w:r/>
    </w:p>
    <w:p>
      <w:pPr>
        <w:ind w:firstLine="567"/>
        <w:jc w:val="both"/>
        <w:spacing w:after="0" w:line="240" w:lineRule="auto"/>
        <w:rPr>
          <w:rStyle w:val="742"/>
          <w:rFonts w:ascii="Times New Roman" w:hAnsi="Times New Roman" w:eastAsia="Times New Roman" w:cs="Times New Roman"/>
          <w:iCs/>
          <w:sz w:val="24"/>
          <w:szCs w:val="24"/>
          <w:lang w:eastAsia="ru-RU"/>
        </w:rPr>
      </w:pPr>
      <w:r>
        <w:rPr>
          <w:rFonts w:ascii="Times New Roman" w:hAnsi="Times New Roman" w:cs="Times New Roman"/>
          <w:sz w:val="24"/>
          <w:szCs w:val="24"/>
          <w:shd w:val="clear" w:color="auto" w:fill="ffffff"/>
        </w:rPr>
        <w:t xml:space="preserve">- Оформлення полісів </w:t>
      </w:r>
      <w:r>
        <w:rPr>
          <w:rFonts w:ascii="Times New Roman" w:hAnsi="Times New Roman" w:cs="Times New Roman"/>
          <w:sz w:val="24"/>
          <w:szCs w:val="24"/>
        </w:rPr>
        <w:t xml:space="preserve">обов’язкового страхування </w:t>
      </w:r>
      <w:r>
        <w:rPr>
          <w:rFonts w:ascii="Times New Roman" w:hAnsi="Times New Roman" w:cs="Times New Roman"/>
          <w:sz w:val="24"/>
          <w:szCs w:val="24"/>
          <w:shd w:val="clear" w:color="auto" w:fill="ffffff"/>
        </w:rPr>
        <w:t xml:space="preserve">з франшизою 0 (нуль) гривень.</w:t>
      </w:r>
      <w:r/>
    </w:p>
    <w:p>
      <w:pPr>
        <w:ind w:firstLine="567"/>
        <w:jc w:val="both"/>
        <w:spacing w:after="0" w:line="240" w:lineRule="auto"/>
        <w:rPr>
          <w:rStyle w:val="742"/>
          <w:rFonts w:ascii="Times New Roman" w:hAnsi="Times New Roman" w:cs="Times New Roman"/>
          <w:iCs/>
          <w:sz w:val="24"/>
          <w:szCs w:val="24"/>
        </w:rPr>
      </w:pPr>
      <w:r>
        <w:rPr>
          <w:rStyle w:val="742"/>
          <w:rFonts w:ascii="Times New Roman" w:hAnsi="Times New Roman" w:cs="Times New Roman"/>
          <w:iCs/>
          <w:sz w:val="24"/>
          <w:szCs w:val="24"/>
        </w:rPr>
        <w:t xml:space="preserve">- Обов’язкове представництво страховика у м. Києві.</w:t>
      </w:r>
      <w:r/>
    </w:p>
    <w:p>
      <w:pPr>
        <w:ind w:firstLine="567"/>
        <w:jc w:val="both"/>
        <w:spacing w:after="0" w:line="240" w:lineRule="auto"/>
        <w:rPr>
          <w:rStyle w:val="742"/>
          <w:rFonts w:ascii="Times New Roman" w:hAnsi="Times New Roman" w:cs="Times New Roman"/>
          <w:iCs/>
          <w:sz w:val="24"/>
          <w:szCs w:val="24"/>
        </w:rPr>
      </w:pPr>
      <w:r>
        <w:rPr>
          <w:rStyle w:val="742"/>
          <w:rFonts w:ascii="Times New Roman" w:hAnsi="Times New Roman" w:cs="Times New Roman"/>
          <w:iCs/>
          <w:sz w:val="24"/>
          <w:szCs w:val="24"/>
        </w:rPr>
        <w:t xml:space="preserve">(надати гарантійний лист)</w:t>
      </w:r>
      <w:r/>
    </w:p>
    <w:p>
      <w:pPr>
        <w:ind w:firstLine="567"/>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rPr>
        <w:t xml:space="preserve">Вимоги до Учасника:</w:t>
      </w:r>
      <w:r/>
    </w:p>
    <w:p>
      <w:pPr>
        <w:ind w:right="-142" w:firstLine="709"/>
        <w:jc w:val="both"/>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 Статутний капітал не нижче 100 млн. грн. </w:t>
      </w:r>
      <w:r/>
    </w:p>
    <w:p>
      <w:pPr>
        <w:ind w:right="-142" w:firstLine="709"/>
        <w:jc w:val="both"/>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1.2 Досвід страхування – не менше 10 років.</w:t>
      </w:r>
      <w:r/>
    </w:p>
    <w:p>
      <w:pPr>
        <w:pStyle w:val="771"/>
        <w:ind w:right="-142" w:firstLine="709"/>
        <w:jc w:val="both"/>
        <w:shd w:val="clear" w:color="auto" w:fill="ffffff"/>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1.3 Входження в ТОП 10 страхових компаній України за показниками: «Страхові платежі» та «Страхові виплати»  по ОСЦПВВНТЗ за 2023 рік.</w:t>
      </w:r>
      <w:r/>
    </w:p>
    <w:p>
      <w:pPr>
        <w:pStyle w:val="771"/>
        <w:ind w:right="-142" w:firstLine="709"/>
        <w:jc w:val="both"/>
        <w:shd w:val="clear" w:color="auto" w:fill="ffffff"/>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1.4 За офіційною оцінкою діяльності страховиків-членів МТСБУ оцінку «високий рівень» (зелений колір) за 2021р, 2022р. (3,4 квартал, інформація</w:t>
      </w:r>
      <w:r>
        <w:rPr>
          <w:rFonts w:ascii="Times New Roman" w:hAnsi="Times New Roman" w:cs="Times New Roman"/>
          <w:color w:val="000000"/>
          <w:sz w:val="24"/>
          <w:szCs w:val="24"/>
          <w:lang w:val="uk-UA"/>
        </w:rPr>
        <w:t xml:space="preserve"> про 1,2 квартали на сайті МТСБУ не опубліковані) та 1,2,3 квартали 2023 року за показниками «Якість врегулювання збитків», «Рівень скарг від потерпілих та страхувальників», «Загальна оцінка діяльності страховика» (спосіб перевірки – офіційний сайт МТСБУ);</w:t>
      </w:r>
      <w:r/>
    </w:p>
    <w:p>
      <w:pPr>
        <w:ind w:right="-142" w:firstLine="709"/>
        <w:jc w:val="both"/>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1.5 Частка вимог за шкоду майну, врегульованих до 90 днів від дати ДТП до останньої виплати складає не менше 80%  за 2023 рік згідно даних МТСБУ.</w:t>
      </w:r>
      <w:r/>
    </w:p>
    <w:p>
      <w:pPr>
        <w:pStyle w:val="732"/>
        <w:ind w:left="0" w:right="-143" w:firstLine="567"/>
        <w:jc w:val="both"/>
        <w:spacing w:after="0" w:line="240" w:lineRule="auto"/>
        <w:shd w:val="clear" w:color="auto" w:fill="ffffff"/>
        <w:rPr>
          <w:rFonts w:ascii="Times New Roman" w:hAnsi="Times New Roman" w:cs="Times New Roman"/>
          <w:sz w:val="24"/>
          <w:szCs w:val="24"/>
          <w:lang w:val="uk-UA"/>
        </w:rPr>
        <w:outlineLvl w:val="2"/>
      </w:pPr>
      <w:r>
        <w:rPr>
          <w:rFonts w:ascii="Times New Roman" w:hAnsi="Times New Roman" w:cs="Times New Roman"/>
          <w:color w:val="000000"/>
          <w:sz w:val="24"/>
          <w:szCs w:val="24"/>
        </w:rPr>
        <w:t xml:space="preserve">1.6. </w:t>
      </w:r>
      <w:r>
        <w:rPr>
          <w:rFonts w:ascii="Times New Roman" w:hAnsi="Times New Roman" w:cs="Times New Roman"/>
          <w:color w:val="000000"/>
          <w:sz w:val="24"/>
          <w:szCs w:val="24"/>
        </w:rPr>
        <w:t xml:space="preserve">Прибуткова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діяльність</w:t>
      </w:r>
      <w:r>
        <w:rPr>
          <w:rFonts w:ascii="Times New Roman" w:hAnsi="Times New Roman" w:cs="Times New Roman"/>
          <w:color w:val="000000"/>
          <w:sz w:val="24"/>
          <w:szCs w:val="24"/>
        </w:rPr>
        <w:t xml:space="preserve"> за 2023 </w:t>
      </w:r>
      <w:r>
        <w:rPr>
          <w:rFonts w:ascii="Times New Roman" w:hAnsi="Times New Roman" w:cs="Times New Roman"/>
          <w:color w:val="000000"/>
          <w:sz w:val="24"/>
          <w:szCs w:val="24"/>
        </w:rPr>
        <w:t xml:space="preserve">рік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показник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нерозподілений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прибуток</w:t>
      </w:r>
      <w:r>
        <w:rPr>
          <w:rFonts w:ascii="Times New Roman" w:hAnsi="Times New Roman" w:cs="Times New Roman"/>
          <w:color w:val="000000"/>
          <w:sz w:val="24"/>
          <w:szCs w:val="24"/>
        </w:rPr>
        <w:t xml:space="preserve">» («Баланс» (форма 1), код рядка 1420) та «</w:t>
      </w:r>
      <w:r>
        <w:rPr>
          <w:rFonts w:ascii="Times New Roman" w:hAnsi="Times New Roman" w:cs="Times New Roman"/>
          <w:color w:val="000000"/>
          <w:sz w:val="24"/>
          <w:szCs w:val="24"/>
        </w:rPr>
        <w:t xml:space="preserve">чистий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фінансовий</w:t>
      </w:r>
      <w:r>
        <w:rPr>
          <w:rFonts w:ascii="Times New Roman" w:hAnsi="Times New Roman" w:cs="Times New Roman"/>
          <w:color w:val="000000"/>
          <w:sz w:val="24"/>
          <w:szCs w:val="24"/>
        </w:rPr>
        <w:t xml:space="preserve"> результат» («</w:t>
      </w:r>
      <w:r>
        <w:rPr>
          <w:rFonts w:ascii="Times New Roman" w:hAnsi="Times New Roman" w:cs="Times New Roman"/>
          <w:color w:val="000000"/>
          <w:sz w:val="24"/>
          <w:szCs w:val="24"/>
        </w:rPr>
        <w:t xml:space="preserve">Звіт</w:t>
      </w:r>
      <w:r>
        <w:rPr>
          <w:rFonts w:ascii="Times New Roman" w:hAnsi="Times New Roman" w:cs="Times New Roman"/>
          <w:color w:val="000000"/>
          <w:sz w:val="24"/>
          <w:szCs w:val="24"/>
        </w:rPr>
        <w:t xml:space="preserve"> про </w:t>
      </w:r>
      <w:r>
        <w:rPr>
          <w:rFonts w:ascii="Times New Roman" w:hAnsi="Times New Roman" w:cs="Times New Roman"/>
          <w:color w:val="000000"/>
          <w:sz w:val="24"/>
          <w:szCs w:val="24"/>
        </w:rPr>
        <w:t xml:space="preserve">фінансовий</w:t>
      </w:r>
      <w:r>
        <w:rPr>
          <w:rFonts w:ascii="Times New Roman" w:hAnsi="Times New Roman" w:cs="Times New Roman"/>
          <w:color w:val="000000"/>
          <w:sz w:val="24"/>
          <w:szCs w:val="24"/>
        </w:rPr>
        <w:t xml:space="preserve"> результат (</w:t>
      </w:r>
      <w:r>
        <w:rPr>
          <w:rFonts w:ascii="Times New Roman" w:hAnsi="Times New Roman" w:cs="Times New Roman"/>
          <w:color w:val="000000"/>
          <w:sz w:val="24"/>
          <w:szCs w:val="24"/>
        </w:rPr>
        <w:t xml:space="preserve">звіт</w:t>
      </w:r>
      <w:r>
        <w:rPr>
          <w:rFonts w:ascii="Times New Roman" w:hAnsi="Times New Roman" w:cs="Times New Roman"/>
          <w:color w:val="000000"/>
          <w:sz w:val="24"/>
          <w:szCs w:val="24"/>
        </w:rPr>
        <w:t xml:space="preserve"> про </w:t>
      </w:r>
      <w:r>
        <w:rPr>
          <w:rFonts w:ascii="Times New Roman" w:hAnsi="Times New Roman" w:cs="Times New Roman"/>
          <w:color w:val="000000"/>
          <w:sz w:val="24"/>
          <w:szCs w:val="24"/>
        </w:rPr>
        <w:t xml:space="preserve">сукупний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дохід</w:t>
      </w:r>
      <w:r>
        <w:rPr>
          <w:rFonts w:ascii="Times New Roman" w:hAnsi="Times New Roman" w:cs="Times New Roman"/>
          <w:color w:val="000000"/>
          <w:sz w:val="24"/>
          <w:szCs w:val="24"/>
        </w:rPr>
        <w:t xml:space="preserve">)» (форма 2), код рядка 2350) </w:t>
      </w:r>
      <w:r>
        <w:rPr>
          <w:rFonts w:ascii="Times New Roman" w:hAnsi="Times New Roman" w:cs="Times New Roman"/>
          <w:color w:val="000000"/>
          <w:sz w:val="24"/>
          <w:szCs w:val="24"/>
        </w:rPr>
        <w:t xml:space="preserve">повинні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мати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позитивне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значення</w:t>
      </w:r>
      <w:r>
        <w:rPr>
          <w:rFonts w:ascii="Times New Roman" w:hAnsi="Times New Roman" w:cs="Times New Roman"/>
          <w:color w:val="000000"/>
          <w:sz w:val="24"/>
          <w:szCs w:val="24"/>
        </w:rPr>
        <w:t xml:space="preserve">). Для </w:t>
      </w:r>
      <w:r>
        <w:rPr>
          <w:rFonts w:ascii="Times New Roman" w:hAnsi="Times New Roman" w:cs="Times New Roman"/>
          <w:color w:val="000000"/>
          <w:sz w:val="24"/>
          <w:szCs w:val="24"/>
        </w:rPr>
        <w:t xml:space="preserve">підтвердження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відповідності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Учасник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додатково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надає</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засвідчені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копії</w:t>
      </w:r>
      <w:r>
        <w:rPr>
          <w:rFonts w:ascii="Times New Roman" w:hAnsi="Times New Roman" w:cs="Times New Roman"/>
          <w:color w:val="000000"/>
          <w:sz w:val="24"/>
          <w:szCs w:val="24"/>
        </w:rPr>
        <w:t xml:space="preserve"> «Баланс» та «</w:t>
      </w:r>
      <w:r>
        <w:rPr>
          <w:rFonts w:ascii="Times New Roman" w:hAnsi="Times New Roman" w:cs="Times New Roman"/>
          <w:color w:val="000000"/>
          <w:sz w:val="24"/>
          <w:szCs w:val="24"/>
        </w:rPr>
        <w:t xml:space="preserve">Звіт</w:t>
      </w:r>
      <w:r>
        <w:rPr>
          <w:rFonts w:ascii="Times New Roman" w:hAnsi="Times New Roman" w:cs="Times New Roman"/>
          <w:color w:val="000000"/>
          <w:sz w:val="24"/>
          <w:szCs w:val="24"/>
        </w:rPr>
        <w:t xml:space="preserve"> про </w:t>
      </w:r>
      <w:r>
        <w:rPr>
          <w:rFonts w:ascii="Times New Roman" w:hAnsi="Times New Roman" w:cs="Times New Roman"/>
          <w:color w:val="000000"/>
          <w:sz w:val="24"/>
          <w:szCs w:val="24"/>
        </w:rPr>
        <w:t xml:space="preserve">фінансовий</w:t>
      </w:r>
      <w:r>
        <w:rPr>
          <w:rFonts w:ascii="Times New Roman" w:hAnsi="Times New Roman" w:cs="Times New Roman"/>
          <w:color w:val="000000"/>
          <w:sz w:val="24"/>
          <w:szCs w:val="24"/>
        </w:rPr>
        <w:t xml:space="preserve"> результат (</w:t>
      </w:r>
      <w:r>
        <w:rPr>
          <w:rFonts w:ascii="Times New Roman" w:hAnsi="Times New Roman" w:cs="Times New Roman"/>
          <w:color w:val="000000"/>
          <w:sz w:val="24"/>
          <w:szCs w:val="24"/>
        </w:rPr>
        <w:t xml:space="preserve">звіт</w:t>
      </w:r>
      <w:r>
        <w:rPr>
          <w:rFonts w:ascii="Times New Roman" w:hAnsi="Times New Roman" w:cs="Times New Roman"/>
          <w:color w:val="000000"/>
          <w:sz w:val="24"/>
          <w:szCs w:val="24"/>
        </w:rPr>
        <w:t xml:space="preserve"> про </w:t>
      </w:r>
      <w:r>
        <w:rPr>
          <w:rFonts w:ascii="Times New Roman" w:hAnsi="Times New Roman" w:cs="Times New Roman"/>
          <w:color w:val="000000"/>
          <w:sz w:val="24"/>
          <w:szCs w:val="24"/>
        </w:rPr>
        <w:t xml:space="preserve">сукупний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дохід</w:t>
      </w:r>
      <w:r>
        <w:rPr>
          <w:rFonts w:ascii="Times New Roman" w:hAnsi="Times New Roman" w:cs="Times New Roman"/>
          <w:color w:val="000000"/>
          <w:sz w:val="24"/>
          <w:szCs w:val="24"/>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5 733,00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п’ять тисяч сімсот тридцять три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paragraph" w:styleId="771">
    <w:name w:val="HTML Preformatted"/>
    <w:basedOn w:val="725"/>
    <w:link w:val="772"/>
    <w:uiPriority w:val="99"/>
    <w:semiHidden/>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val="ru-RU" w:eastAsia="ru-RU"/>
    </w:rPr>
  </w:style>
  <w:style w:type="character" w:styleId="772" w:customStyle="1">
    <w:name w:val="Стандартний HTML Знак"/>
    <w:basedOn w:val="729"/>
    <w:link w:val="771"/>
    <w:uiPriority w:val="99"/>
    <w:semiHidden/>
    <w:rPr>
      <w:rFonts w:ascii="Courier New" w:hAnsi="Courier New" w:eastAsia="Times New Roman" w:cs="Courier New"/>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164</cp:revision>
  <dcterms:created xsi:type="dcterms:W3CDTF">2022-11-01T12:47:00Z</dcterms:created>
  <dcterms:modified xsi:type="dcterms:W3CDTF">2024-05-24T15:46:00Z</dcterms:modified>
</cp:coreProperties>
</file>