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Капітальний ремонт будівлі закритого складу літ. «М», м. Київ, вул. Волинська, 26 за кодом CPV за ЄЗС ДК 021:2015:45450000-6 – Інші завершальні будівельні роботи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000372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Капітальний ремонт будівлі закритого складу літ. «М», м. Київ, вул. Волинська, 26 за кодом CPV за ЄЗС ДК 021:2015:45450000-6 – Інші завершальні будівельні роботи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65"/>
        <w:jc w:val="center"/>
        <w:spacing w:after="0" w:afterAutospacing="0"/>
        <w:rPr>
          <w:b/>
        </w:rPr>
      </w:pPr>
      <w:r>
        <w:rPr>
          <w:b/>
        </w:rPr>
        <w:t xml:space="preserve">Капітальний ремонт будівлі закритого складу літ. «М», м. Київ, вул. Волинська, 26 за кодом CPV за ЄЗС ДК 021:2015:45450000-6 – Інші завершальні будівельні роботи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2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Капітальний ремонт будівлі закритого складу літ. «М», м. Київ, вул. Волинська, 26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</w:pPr>
            <w:r>
              <w:t xml:space="preserve">робота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/>
          </w:p>
        </w:tc>
      </w:tr>
    </w:tbl>
    <w:p>
      <w:pPr>
        <w:pStyle w:val="728"/>
        <w:jc w:val="center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pStyle w:val="72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 РОБІТ:</w:t>
      </w:r>
      <w:r/>
    </w:p>
    <w:p>
      <w:pPr>
        <w:pStyle w:val="72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59" w:type="dxa"/>
        <w:tblLook w:val="04A0" w:firstRow="1" w:lastRow="0" w:firstColumn="1" w:lastColumn="0" w:noHBand="0" w:noVBand="1"/>
      </w:tblPr>
      <w:tblGrid>
        <w:gridCol w:w="614"/>
        <w:gridCol w:w="1177"/>
        <w:gridCol w:w="4071"/>
        <w:gridCol w:w="617"/>
        <w:gridCol w:w="645"/>
        <w:gridCol w:w="272"/>
        <w:gridCol w:w="997"/>
        <w:gridCol w:w="272"/>
        <w:gridCol w:w="994"/>
      </w:tblGrid>
      <w:tr>
        <w:trPr>
          <w:trHeight w:val="82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Ч.ч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Найменування робіт і витрат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Одиниця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виміру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>
          <w:trHeight w:val="3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3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демонтажні роботи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металоконструкцій сходів, площадок,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 огороджень (Зовнішня драбина з огородженням і оглядовим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майданчиком)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вікна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дрібних металоконструкцій вагою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0,1 т (решітки віконні) (кількість: 129,98*0,0276)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3,587448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дерев'яних підвіконних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дощок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кам'яних будівлях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засклених віконних рам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252,78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віконних коробок в кам'яних стінах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відбиванням штукатурки в укосах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двері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наличників (кількість: 17*5*2)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дверних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полотен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(кількість: 34,68+2,1)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36,78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дверних коробок в кам'яних стінах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відбиванням штукатурки в укосах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ворота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дрібних металоконструкцій вагою до 1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2,77104</w:t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 (кількість: 2,77+9,47+3,58)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шторних з приводом підняття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хвірток із готових глухих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полотен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висотою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2,0 м при встановлених стовпах (кількість: 2,2*1*4)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8,8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2 м2 з металопластику в кам'яних стінах житлових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громадських будівель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3 м2 з металопластику  в кам'яних стінах житлових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громадських будівель (кількість: 2,25+2,75+2,6)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7,6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більше 3 м2 з металопластику в кам'яних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житлових і громадських будівель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18,724+7,8+3,7875+41,25+4,545+41,6625)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117,769</w:t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дверних прорізів готовими дверними блоками площею до 2 м2 з металопластику  у кам'яних стінах (кількість: 4,725+7,56)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12,285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дверних прорізів готовими дверними блоками площею понад 2 до 3 м2 з металопластику  у кам'яних стінах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2,205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покрівля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прокладної пароізоляції в один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перекриттів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виробами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волокнистих і зернистих матеріалів насухо (кількість: 557*0,2)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111,4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перекриттів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виробами з пінопласту насухо (кількість: 557*0,05)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27,85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першого шару обклеювальної гідроізоляції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рулонними матеріалами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Покриття поверхні мастикою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-557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покрівель рулонних з матеріалів, що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наплавляються, із застосуванням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газопламеневих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пальників, в один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перекриттів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виробами з пінопласту насухо (парапет) (кількість: 15,75*0,05)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0,7875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першого шару обклеювальної гідроізоляції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рулонними матеріалами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Покриття поверхні мастикою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-21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покрівель рулонних з матеріалів, що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наплавляються, із застосуванням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газопламеневих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пальників, в один шар (парапет)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з листової сталі поясків,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сандриків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підвіконних відливів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з листової сталі брандмауерів, парапетів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ковпаків над шахтами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вентканалів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колпак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Навішування водостічних труб, колін, відливів і лійок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готових елементів (кількість: (8*4,5)+(40,6*2))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117,2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оздоблювальні роботи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цегляних перегородок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28,5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(Демонтаж)Улаштування перегородки з ЛГК на металевому каркасі з ізоляцією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Відбивання штукатурки по цеглі та бетону зі стін та стель,  площа відбивання в одному місці більше 5 м2 (кількість: 428,9+343,7)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772,6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облицювання стін з керамічних глазурованих плиток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54,2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Очищення вручну внутрішніх поверхонь стін від вапняної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фарби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2267,29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покриттів підлог з керамічних плиток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покриттів підлог з штучного паркету на рейках або шпунтованого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127,57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цементних покриттів підлог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317,35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Улаштування бетонної стяжки товщиною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площею понад 20 м2 (кількість: 910,7+105)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1015,7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На кожні 5 мм зміни товщини шару стяжки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важкого бетону додавати або виключати до 100мм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910,7+105)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1015,7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Підготовчі і заключні роботи при різанні бетонних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конструкцій настінною пилкою з алмазним кругом, монтаж і демонтаж настінної пилки на висоті до 5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переріз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Різання бетонних і залізобетонних конструкцій настінною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пилкою з алмазним кругом, глибина різа понад 250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 (кількість: 243,76+87,425)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331,185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331,185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Стіни зовнішні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Готування цементного розчину вручну (кількість: r4(0,008*52,32))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0,4186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Мурування зовнішніх стін в монолітно-каркасних будівлях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52,32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Перегородки внутрішні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перегородок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блоків товщиною 100 мм при висоті поверху до 4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Готування цементного розчину вручну (кількість: 0,0704*2,18)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0,153472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Підсилення цегляних стін стальними обоймами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0,828+0,048)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0,876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металевих поверхонь за один раз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Фарбування металевих поґрунтованих поверхонь емаллю ПФ-115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балки для підсилення перекриття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0,216+0,055)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0,271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Укладання металевих балок в міжповерхових перекриттях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0,271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металевих поверхонь за один раз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5,9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опалубки [знизу] і підтримуючих її 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Свердління кільцевими алмазними свердлами з застосуванням охолоджувальної рідини /води/ в залізобетонних конструкціях вертикальних отворів глибиною 200 мм, діаметром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перекриттів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безбалкових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товщиною до 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на висоті від опорної площадки до 6 м (кількість: 5,4+5,2)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10,6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Укладання бетонної суміші в конструкції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бетононасосами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: перекриття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безбалкові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площа між осями колон до 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10,8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внутрішньо-майданчикові мережі електропостачання, приєднання електричних мереж від існуючої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електрощитової № 4 до ВРП проектного № 1; 2; 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L= 10+12+20+5+15+35=97мп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Холодне фрезерування асфальтобетонного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фрезою шириною фрезерування 0,5 м при глибині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фрезерування 5 см (кількість: (10+12+20+5+15+35)х0,5)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асфальтобетонних покриттів вручну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2,425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щебеневих покриттів та основ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7,275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екскаваторами на автомобілі-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самоскиди, місткість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ковша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екскаватора 0,5 м3.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2,425*2,1+7,275*1,6)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16,7325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18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16,7325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Відновлення основ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щебневих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одношарових основ товщиною 15 см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щебеню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фракції 40-70 мм з межею міцності на стиск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понад 98,1 МПа [1000 кг/см2]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7,275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ґрунту вручну в траншеях глибиною до 2 м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кріплень з укосами, група ґрунту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57,5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Засипання вручну траншей, пазух котлованів та 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ґрунту 1 (раніше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розробл.грунт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53,2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ґрунту до 18 км (кількість: (57,5-53,2)*1,6)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6,88</w:t>
            </w:r>
            <w:r/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трубопроводів із поліетиленових труб, більше 2-х каналів (кількість: (4*0,010)+(3*0,012)+(3*0,020)+(3*0,005)+(3*0,015)+(3*,035))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0,301</w:t>
            </w:r>
            <w:r/>
          </w:p>
        </w:tc>
      </w:tr>
      <w:tr>
        <w:trPr>
          <w:trHeight w:val="18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Свердління кільцевими алмазними свердлами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застосуванням охолоджувальної рідини /води/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конструкціях горизонтальних отворів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800 мм, діаметром 125 мм при виконанні робіт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поблизу об'єктів, що знаходяться під високою напругою,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що пов'язано з обмеженням дій працюючих вимогами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техніки безпеки (до щита № 1; 2; 3) (кількість: 3+3+3)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</w:tr>
      <w:tr>
        <w:trPr>
          <w:trHeight w:val="13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Додавати або вилучати на кожні 10 мм зміни глибини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свердління кільцевими алмазними свердлами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застосуванням охолоджувальної рідини /води/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конструкціях горизонтальних отворів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діаметром 125 мм (кількість: 9х22)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постелі при одному кабелі у траншеї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(АВВГ 4*95+ АВВГ 4*70+АВВГ 4*35) (кількість: (8+120+35)-97)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Додавати до норми 8-142-1 на кожний наступний кабель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 улаштуванні постелі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Покривання 1-2 кабелів, прокладених у траншеї, сигнальною стрічкою (вся траса+ труба)(кількість: (8+120+35)*2)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326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у готових траншеях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без покриттів, маса 1 м до 2 кг (АВВГ 4х70)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(120*2)-104)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2 кг (АВВГ 4х70) (кількість: (12+20+5+15)х2)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2 кг (АВВГ 4х35) (кількість: 35х2)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3 кг (АВВГ 4х95) (кількість: 8*2)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3 кг (щитова №4 АВВГ 4х95) (кількість: 6*2)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3 кг (щитова ВРП АВВГ 4х95) (кількість: 10*2)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№2 АВВГ 4х70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щитов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№4 нова)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(2х2)+(8х2))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10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№4 АВВГ 4х70 ; 4х35) (кількість: (6х2)+(6х2))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ВРП АВВГ 4х70 ; 4х35)(кількість: 30+30)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35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70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95 мм2 (кількість: 2*2)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Герметизацiя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проходiв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вводi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кабелiв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вибухонебезпечнi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примiщення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(кількість: 3+3+3)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прохід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пристрою та підключення кабелів або проводів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зовнішньої мережі до апаратів та приладів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ввідно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розподільного пристрою ВРУ1-22-43, -22-44, -23-43, -23-44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ґрунту вручну в траншеях глибиною до 2 м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кріплень з укосами, група ґрунту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4,48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Засипання вручну траншей, пазух котлованів та 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ґрунту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4,48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Заземлювач горизонтальний у траншеї зі сталі штабової,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переріз 160 мм2 (кількість: 20+20)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Заземлювач вертикальний з круглої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сталi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(глибина 5 м) (кількість: 4+8)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 перший одножильний або багатожильний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загальному обплетенні у прокладених трубах 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металорукавах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сумарний переріз до 35 мм2 (щитова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ВРП ПВ3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1х25 для заземлення)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Провід, що прокладається по сталевих конструкціях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панелях, переріз до 35 мм2 (щитова ВРП ПВ3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1х25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для заземлення)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ПНР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 автоматичного введення резервного живлення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[АВР] з схемою відновлення напруги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Вимикач автоматичний змінного струму швидкодіючий,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номінальний струм до 1000 А, напруга понад 1 кВ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10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Вимірювання опору ізоляції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мегаомметром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інших ліній, напруга до 1 кВ, призначених для передачі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електроенергії розподільним пристроям, щитам, шафам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 комутаційним апаратам (кількість: 2+2+2)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лінія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Фазування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електричної лінії або трансформатора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мережею, напруга до 1 кВ (кількість: 4*6)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фазув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Монтажні роботи. Вентиляція і кондиціювання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зовнішнього блоку 33кВт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 (кількість: 80*2)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віброізоляторів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блоку кондиціонера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4+4+2+2)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розгалуджувачів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пленум-боксів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1,18*8+1,34*8+1,36*4)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25,6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Трубопроводи з мідних труб, діаметр зовнішній 18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40,69+61,16+111,50+31,40)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244,75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Трубопроводи з мідних труб, діаметр зовнішній 28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13,66+86,91)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100,57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трубопроводів трубками зі спіненого каучуку,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поліетилену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345,32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дренажних трубопроводів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20+30+38)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Гідравлічне випробування мідних трубопроводів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345,32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сифонів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гофри з кріпленням накладними скобами,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у прокладених трубах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172,66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 (кількість: 52+54+5+5)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повітряних, діаметром до 250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38+4)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ПВ1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Aerostart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DSV (б/з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071120231)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камеpа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датчиків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Підключення проводів і жил електричних кабелів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приладів і засобів автоматизації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керування, регуляторів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 (кількість: 26+25)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пленум-боксів (кількість: 12*0,74+12*1,12)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22,32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повітряних, діаметром до 250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12+12)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ПВ2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Aerostart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DSV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камеpа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датчиків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Підключення проводів і жил електричних кабелів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приладів і засобів автоматизації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керування, регуляторів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припливного П1 250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калориферів електричних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фільтрів повітряних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фільтр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250мм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Регулятор швидкості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гофри з кріпленням накладними скобами,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до 25 мм (кількість: 20+26+40+40+40)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у прокладених трубах (кількість: 20+26+40+40+40)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В1 200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анемостатів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В2 125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125мм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В2 125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анемостатів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125мм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грат жалюзійних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грати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повітроводів з оцинкованої сталі 0,5мм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70,8+12+6+15+10)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113,8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фасонних виробів з оцинкованої сталі 0,5мм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47,2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повітроводів з оцинкованої сталі 0,7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фасонних виробів з оцинкованої сталі 0,7мм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каучукова самоклеюча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повітроводів вогнетривка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Нанесення вручну в один шар клею на горизонтальні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вертикальні поверхні сталевих повітроводів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вогнезатримуючих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електроприводом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</w:tbl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ПІДСУМКОВА ВІДОМІСТЬ РЕСУРСІВ (для розрахунків Учаснику)</w:t>
      </w:r>
      <w:r/>
    </w:p>
    <w:tbl>
      <w:tblPr>
        <w:tblW w:w="9629" w:type="dxa"/>
        <w:tblLook w:val="04A0" w:firstRow="1" w:lastRow="0" w:firstColumn="1" w:lastColumn="0" w:noHBand="0" w:noVBand="1"/>
      </w:tblPr>
      <w:tblGrid>
        <w:gridCol w:w="613"/>
        <w:gridCol w:w="5898"/>
        <w:gridCol w:w="1559"/>
        <w:gridCol w:w="1559"/>
      </w:tblGrid>
      <w:tr>
        <w:trPr>
          <w:trHeight w:val="297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Будівельні матеріали, вироби і комплекти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Секційні промислові ворота (ГАНТ) 2700*2800мм, вертикальний підйом: 40 мм сендвіч-панель, торсіонні пружини кочення  25000 циклів,    захист від обриву тросів та пружин, оцинковані петлі та ролики, двостороння ручка промислового зразка, колір   коричневий.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13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Секційні промислові ворота (ГАНТ) 3000*3100мм, вертикальний підйом: 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ммсендвіч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-панель, торсіонні пружини кочення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25000 циклів,    захист від обриву тросів та пружин,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оцинковані петлі та ролики, двостороння ручка промислового зразка, колір  коричневий.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Sika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Colma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Cleaner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очисник швів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30,285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вогнетривка FIX EI60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каучукова самоклеюча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Ізострічка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ПВХ, 50мм*25м.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Ізострічка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20м.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Азот для зварювання, балон 40л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Анемостат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Анкер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Hilti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HST3 М16 hef2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Арматура ф 12мм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1,224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Арматура ф 16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0,6324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Арматура ф 6,5 мм А1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0,05712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Арматура ф 8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0,088013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маркувальна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0,39413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Бірка-прикінцевлювач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А631, А671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2,01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Бетон В25 Р4 F200 W6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10,759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Болт М10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Болт М8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Болти будівельні з гайками та шайбами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0,009064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Віброізолятор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Вібро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Фікс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  4-10-4-10-4i -- 33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(3030*1250мм)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41,6625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_.61414-16-4 '  4-10-4-10-4i --  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шт. (3020*1240мм)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18,724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_.61414-16-4 '  4-10-4=10-4i --  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шт. (3000*1300мм)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_.61414-16-4  '  4-10-4-10-4i -- 6  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(3030*1250мм)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3,7875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 '  4-10-4-10-4I -- 33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(3000*1250мм) з   підвіконням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41,25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'рама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'  4-10-4-10-4i -- 3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(3030*1500мм)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4,545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'  4-10-4-10-4I -- 2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(1800*1250мм) з   підвіконням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4-10-4-10-4  (2200*1250мм)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 підвіконням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2,75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блоки рама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 4-10-4-10-4   (2080*1250мм)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 підвіконням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Віконні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блоки'рама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63 6210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76 6220 / штапик IT62 (24) _.6141'  4-10-4-10-4I -- 2 шт.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(1000*1250мм) з   підвіконням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Вхідні двері 'INTER-TERMO рама IT62 74 6212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30 мм.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универ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Т110 6225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штапик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IT62 (24) _.6141 (750*2100мм)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4,725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Вхідні двері 'INTER-TERMO рама IT62 74 6212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30 мм.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универ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Т110 6225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штапик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IT62 (24) _.6141 (900*2100мм)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7,56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Вхідні двері 'INTER-TERMO рама IT62 74 6212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30 мм.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универ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IT62 Т110 6225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импост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IT60 72 6230 / штапик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IT62 (24) _.6141 (1050*2100мм)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2,205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Вязальний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дріт ф1,1-1,2мм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6,912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Гайка М10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Гайка М14 з рискою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Гайка М8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1870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Гвинт  - шуруп для кріплення з дюбелем 10*150мм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Гвинти з напівкруглою головкою, довжина 50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0,0002224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Геотекстиль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термоскріплений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Y=150 г/м2, К=1,15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664,7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Герметик для фреонової магістралі, 6мг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Герметик силіконовий  водостійкий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антикорозійна ГФ-021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3,59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Діагональний з'єднувач стриж д-16мм і полоси 40мм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Двигун для промислових воріт вальний KGT 7.50 (до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в комплекті - двигун, блок керування, фотоелементи та два пульти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Диски алмазні відрізні, тип BCE, FBC, TSCE, WCE,  ACE, , CA, FC , діаметр до 2000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Дріт сталевий оцинкований, діаметр 2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0,000032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Дрантя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- шуруп 10*100мм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М10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нейлон 6х40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292,2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пластиковий 6х40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по бетону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телеспічний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фасадний 10х90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пінополістирол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Slope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35 - 300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29,496625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Електроди Моноліт РЦ TM MONOLITH Ф3мм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37,164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Електроди, Ф5 мм, марка Э42А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0,00504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Електрокалорифер електричний d250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Емаль ЭП-51 світло-сіра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0,0036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З'єднувач ринви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З-подібна конструкція із оцинкованої сталі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84,46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Заглушка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труб Д=110 мм (на резервні труби)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Заглушка ринви ліва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Заглушка ринви права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Затискач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алюмінієвими жилами марка АВВГ4х70 мм2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0,302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АВВГ число жил та переріз 4х35 мм2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3х1.5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4х4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5х1.5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5х2,5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МКЕШ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з алюмінієвими жилами марка  АВВГ 4х95 мм2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Кисень, балон 40л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 зворотній, діам.125мм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 зворотній, діам.250мм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 повітряний, діам.150мм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Клей для ПВХ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Клей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газоблока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Wallmix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B-3, 25 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Ковпак вентиляційний із оцинкованої сталі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45 град. до водостічних труб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ПВХ,d20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ПВХ,d25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ПВХ,d32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мідне 90гр. ,d19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Коліно мідне 90гр. ,d22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розгалужувачів для внутрішніх блоків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Кран кульовий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Кран кульовий зі штуцером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Кронштейн ринви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Кронштейни під вентилятор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Кронштейни під вентилятор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Кронштейни під вентилятор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Круг відрізний 125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Круги армовані абразивні зачисні, діаметр 180х6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0,0271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Лійка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Лак, марка 177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0,01348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ПВХ,d20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ПВХ,d25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ПВХ,d32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з"єднувальна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поліетиленових гофрованих труб 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=110мм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кiнцева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EPKT 0047-L12 Муфта кінцева 1 кВ /50-150/ мм2 з  болтовими наконечниками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мідна,d19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Муфта мідна,d22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Наконечники кабельні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201,96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Опалубка металева (в комплекті) стояки, триноги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Основа під хомут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Піна вогнетривка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Піна монтажна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31,73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Пінострічка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Пісок природний, рядовий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ПВХ мембрана 1,5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696,555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Парапетна конструкція гнута  із оцинкованої сталі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36,05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Паробар'єр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™ R110 К=1,15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640,55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Перемичка заземлювальна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Перехід ПВХ, 25/20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Перехід ПВХ, 25/32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Перфострічка, 20мм*25м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Пленум-бокс для дифузора 450х450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Пленум-бокс для дифузора 600х600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Пленум-бокс для канального кондиціонера 5кВт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Пленум-бокс для канального кондиціонера 5,6кВт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Пленум-бокс для канального кондиціонера 7кВт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Плити мінераловатні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ТехноРуф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(195кг/м3) 100мм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114,742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Повітроводи з оцинкованої сталі товщиною 0,5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113,8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Повітроводи з оцинкованої сталі товщиною 0,7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Повітропровід гнучкий ізольований,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Повітропровід гнучкий, діам.150мм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Поковки з квадратних заготовок, маса 1,8 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0,11134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Полоски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К-404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0,352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Припій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 2х0,75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 ПВ3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переріз 1х25 мм2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Проводи мідні гнучкі, марка МГ, переріз 4мм2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0,00144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Пропан-бутан технічний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4,97191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Профіль 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Профіль 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Профіль 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Профнастил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Оцинкованный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- 75 0,7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58,3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Пряжки К-405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0,352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Пульт керування провідний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Різьбова шпилька М10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Різьбова шпилька М8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Рама під зовнішній блок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Регулятор швидкості вентилятора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Решітка 100*200мм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Ринва 3 м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Сітка ткана 5х5х0,7 для відсічення бетону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3250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Свердла кільцеві алмазні, діаметр 125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0,3808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Свердла кільцеві алмазні, діаметр 25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10,584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Сифон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Скоба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підвішуванния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гофри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Скобки для проводів кабелів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дволапкові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К731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1,3872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будівельний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двухсторонній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501,3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Смуга 40*4мм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0,10918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Смуга 40х4мм сталь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горячого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оцин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Стінові блоки СТОУНЛАЙТ 200/100/600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8,712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Стінові блоки СТОУНЛАЙТ 300/200/600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51,7968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Стрічка алюмінієва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Стрічка каучукова 50мм/15м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Стрічка поліетиленова з липким шаром, марка 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0,0256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Стрічка сигнальна (шир. 150 мм)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Стрічка тефлонова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Стрижень заземлення без муфтовий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загостр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Ф6мм довж.1,5 сталь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Стрижень заземлення безмуфтовий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шпильк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Ф16 мм довж.1,5 сталь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універсальная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(для шпаклівки, стяжок, кладки цегли ) 25 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0,982948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Суміші бетонні готові важкі, клас бетону В15 [М200], крупність заповнювача 10 мм і менше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0,071815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Трійник ПВХ,d25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Трійник ПВХ,d32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гофрована d16/10,7мм ДКС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338,66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дренажна д25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дренажна д32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дренажна,d20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посилена гофрована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двостінна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поліетилену  ПЕ Д110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проф.100*50мм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Труби водостічні (RAINWAY 130)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37,44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діам.12,7мм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діам.15,88мм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діам.19,05мм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діам.22,2мм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86,91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діам.6,35мм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40,69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Трубка мідна, діам.9,52мм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61,16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13х10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61,16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13х12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13х15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13х18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13х22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86,91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каучуковий 9х0,6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40,69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Турбогвинт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 бетону 6,3х100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Ущiльнювач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кабельних проходів RDSS-100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Фільтр повітряний 250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Фільтр-осушувач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Фарба ПФ-115 2.7кг Пф-115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Корабельная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сірий 2.8 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5,13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Фасонні вироби з оцинкованої сталі товщиною 0,5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47,2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Фасонні вироби з оцинкованої сталі товщиною 0,7 мм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Фиксатори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захисного шару для арматури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Фреон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Хвіртка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врізна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замком,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доводчиком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датчиком хвіртки.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 із шурупом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 нейлоновий, L=1000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 поліамідний 300х4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Хомут,d45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Цегла керамічна одинарна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повнотіла,розміри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250х120х65 мм, марка М100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0,10027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Шайба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Шайба М10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Шайба М14 збільшена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Шайба М8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Швелери N20 із сталі марки 18сп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0,87768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Шпилька 14мм*1000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Щебінь із природного каменю для будівельних робіт, фракція 40-70 мм, марка М1000 і більше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1,374975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Щит -3 (комплектне постачання)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Щит АВР-1 (комплектне постачання)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Щит АВР-2 (комплектне постачання)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дюбель М8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3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Устаткування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Вентилятор витяжний 125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Вентилятор витяжний 200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Вентилятор припливний 250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Внутрішній блок канального типу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Qx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=5,6кВт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Внутрішній блок канального типу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Qx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=5кВт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Внутрішній блок канального типу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Qx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=7кВт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Внутрішній блок настінного типу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Зовнішній блок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Qx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=33кВт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вогнезатримуючий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ел.прив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Belimo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230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ПВ1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ПВ2 (у тому числі витрати підрядника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AEROSTART DSV ПВ1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ПВ2 AEROSTART DSV (у тому числі витрати підрядника на устаткування, що монтується)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</w:tbl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851" w:hanging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Примітка: У разі, якщо дане технічне завдання містить посилання на конкретну марку, фірму, патент, конструкцію або   тип обладнання, устаткування, матеріалу, то вважається, що технічне завдання (технічні вимоги) містить (ять) вираз «або еквівалент».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28"/>
        <w:ind w:firstLine="567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</w:rPr>
        <w:t xml:space="preserve">Мінрегіону</w:t>
      </w:r>
      <w:r>
        <w:rPr>
          <w:color w:val="000000"/>
        </w:rPr>
        <w:t xml:space="preserve"> від 01.11.2021 № 281, за допомогою ліцензійного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728"/>
        <w:ind w:firstLine="567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728"/>
        <w:ind w:firstLine="567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728"/>
        <w:ind w:firstLine="567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728"/>
        <w:ind w:firstLine="567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будівництва;</w:t>
      </w:r>
      <w:r/>
    </w:p>
    <w:p>
      <w:pPr>
        <w:pStyle w:val="728"/>
        <w:ind w:firstLine="567"/>
        <w:jc w:val="both"/>
        <w:spacing w:after="0" w:line="240" w:lineRule="auto"/>
      </w:pPr>
      <w:r>
        <w:t xml:space="preserve">- Підсумкова відомість ресурсів до локального кошторисного розрахунку з обґрунтуванням цін на основні матеріальні ресурси.</w:t>
      </w:r>
      <w:r/>
    </w:p>
    <w:p>
      <w:pPr>
        <w:pStyle w:val="728"/>
        <w:ind w:firstLine="567"/>
        <w:jc w:val="both"/>
        <w:spacing w:after="0" w:line="240" w:lineRule="auto"/>
        <w:rPr>
          <w:color w:val="000000"/>
        </w:rPr>
      </w:pPr>
      <w:r>
        <w:t xml:space="preserve">Учасник повинен надати у складі тендерної документації копії ліцензій та/або дозволів на виконання робіт, виданих уповноваженим державним органом необхідних для ви</w:t>
      </w:r>
      <w:r>
        <w:t xml:space="preserve">конання робіт, вказаних в Додатку 5 до тендерної документації, якщо отримання ліцензій та/або дозвільних документів на виконання таких робіт передбачено законодавством. (підтвердження даної інформації перевірятиметься у реєстрі, доступ до якого є вільним).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надати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imd</w:t>
      </w:r>
      <w:r>
        <w:rPr>
          <w:rFonts w:ascii="Times New Roman" w:hAnsi="Times New Roman" w:cs="Times New Roman"/>
          <w:sz w:val="24"/>
          <w:szCs w:val="24"/>
        </w:rPr>
        <w:t xml:space="preserve"> файл з розрахунками для зручності Замовника при його перевірці.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надати у складі тендерної пропозиції копію ліцензії та/або іншого дозвільного документу на використання програмного комплексу АВК-5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або аналогу</w:t>
      </w:r>
      <w:r>
        <w:rPr>
          <w:rFonts w:ascii="Times New Roman" w:hAnsi="Times New Roman" w:cs="Times New Roman"/>
          <w:sz w:val="24"/>
          <w:szCs w:val="24"/>
        </w:rPr>
        <w:t xml:space="preserve">, дійсної на момент подачі тендерної пропозиції.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Всі необхідні витратні матеріали, що необхідні для виконання робіт,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</w:t>
      </w:r>
      <w:r>
        <w:rPr>
          <w:rFonts w:ascii="Times New Roman" w:hAnsi="Times New Roman" w:cs="Times New Roman"/>
          <w:sz w:val="24"/>
          <w:szCs w:val="24"/>
        </w:rPr>
        <w:t xml:space="preserve"> тендерної пропозиції. (за необхідності Учасник може за домовленістю із Замовником відвідати та оглянути об’єкт Замовника для правильних розрахунків вартості та економії бюджетних коштів). Об’єкт замовника де необхідно надати послуги знаходиться у м. Київ.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Переможець, незалежно від терміну проведення робіт, закуповує обладнання та матеріали по цінах на час проведення державної закупівлі.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у складі пропозиції лист щодо підтвердження виконання робіт з капітального ремонту без отримання авансового платежу.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Додатку 5 до Оголошення про проведення процедури закупівлі;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виконані роботи.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лист, 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в якому учасник гарантує замовнику виконати роботи якісно у кількості та в терміни, встановлені замовником, а також необхідно зазначити, що матеріали та вироби, від яких залежить якість виконаних робіт, будуть відповідати вимогам нормативно-правових актів.</w:t>
      </w:r>
      <w:r/>
    </w:p>
    <w:p>
      <w:pPr>
        <w:contextualSpacing/>
        <w:ind w:left="34" w:right="113" w:firstLine="567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результатами аукціону Учасник (Переможець) та підписання договору допускається на об’єкт для виконання робіт  ВИКЛЮЧНО після надання заявки (лист на фірмовому бланку Учасника) на персонал та техніку.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</w:t>
      </w:r>
      <w:r>
        <w:rPr>
          <w:rFonts w:ascii="Times New Roman" w:hAnsi="Times New Roman" w:cs="Times New Roman"/>
          <w:sz w:val="24"/>
          <w:szCs w:val="24"/>
        </w:rPr>
        <w:t xml:space="preserve">ки повинні надати у складі пропозицій гарантійний лист, що учасник гарантує  у разі визначення його переможцем закупівлі він зобов’язаний провести експертизу кошторисної документації щодо вартості робіт та надати результат експертизи замовнику, оформлений </w:t>
      </w:r>
      <w:r>
        <w:rPr>
          <w:rFonts w:ascii="Times New Roman" w:hAnsi="Times New Roman" w:cs="Times New Roman"/>
          <w:sz w:val="24"/>
          <w:szCs w:val="24"/>
        </w:rPr>
        <w:t xml:space="preserve">відповідним документом. У разі якщо у висновку </w:t>
      </w:r>
      <w:r>
        <w:rPr>
          <w:rFonts w:ascii="Times New Roman" w:hAnsi="Times New Roman" w:cs="Times New Roman"/>
          <w:sz w:val="24"/>
          <w:szCs w:val="24"/>
        </w:rPr>
        <w:t xml:space="preserve">до експертизи буде зазначена менша вартість робіт ніж надав учасник-переможець то він зобов’язується укласти додаткову угоду, на зменшення суми договору відповідно до підпункту 5 пункту 19 Особливостей без зміни обсягу робіт та якісних характеристик робіт.</w:t>
      </w:r>
      <w:r/>
    </w:p>
    <w:p>
      <w:pPr>
        <w:ind w:right="-1"/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771 394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мільйонів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сімдесят сім тисяч триста дев’яносто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2"/>
      <w:numFmt w:val="decimal"/>
      <w:isLgl/>
      <w:suff w:val="tab"/>
      <w:lvlText w:val="%1.%2."/>
      <w:lvlJc w:val="left"/>
      <w:pPr>
        <w:ind w:left="1188" w:hanging="468"/>
      </w:pPr>
      <w:rPr>
        <w:rFonts w:hint="default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18"/>
  </w:num>
  <w:num w:numId="3">
    <w:abstractNumId w:val="6"/>
  </w:num>
  <w:num w:numId="4">
    <w:abstractNumId w:val="25"/>
  </w:num>
  <w:num w:numId="5">
    <w:abstractNumId w:val="5"/>
  </w:num>
  <w:num w:numId="6">
    <w:abstractNumId w:val="32"/>
  </w:num>
  <w:num w:numId="7">
    <w:abstractNumId w:val="10"/>
  </w:num>
  <w:num w:numId="8">
    <w:abstractNumId w:val="3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0"/>
  </w:num>
  <w:num w:numId="18">
    <w:abstractNumId w:val="36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7"/>
  </w:num>
  <w:num w:numId="25">
    <w:abstractNumId w:val="19"/>
  </w:num>
  <w:num w:numId="26">
    <w:abstractNumId w:val="23"/>
  </w:num>
  <w:num w:numId="27">
    <w:abstractNumId w:val="29"/>
  </w:num>
  <w:num w:numId="28">
    <w:abstractNumId w:val="21"/>
  </w:num>
  <w:num w:numId="29">
    <w:abstractNumId w:val="30"/>
  </w:num>
  <w:num w:numId="30">
    <w:abstractNumId w:val="16"/>
  </w:num>
  <w:num w:numId="31">
    <w:abstractNumId w:val="2"/>
  </w:num>
  <w:num w:numId="32">
    <w:abstractNumId w:val="35"/>
  </w:num>
  <w:num w:numId="33">
    <w:abstractNumId w:val="1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9"/>
    <w:next w:val="71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1"/>
    <w:link w:val="72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9"/>
    <w:next w:val="71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2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9"/>
    <w:next w:val="71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2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9"/>
    <w:next w:val="71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9"/>
    <w:next w:val="71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9"/>
    <w:next w:val="71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9"/>
    <w:next w:val="71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9"/>
    <w:next w:val="71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9"/>
    <w:next w:val="71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1"/>
    <w:link w:val="33"/>
    <w:uiPriority w:val="10"/>
    <w:rPr>
      <w:sz w:val="48"/>
      <w:szCs w:val="48"/>
    </w:rPr>
  </w:style>
  <w:style w:type="paragraph" w:styleId="35">
    <w:name w:val="Subtitle"/>
    <w:basedOn w:val="719"/>
    <w:next w:val="71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1"/>
    <w:link w:val="35"/>
    <w:uiPriority w:val="11"/>
    <w:rPr>
      <w:sz w:val="24"/>
      <w:szCs w:val="24"/>
    </w:rPr>
  </w:style>
  <w:style w:type="paragraph" w:styleId="37">
    <w:name w:val="Quote"/>
    <w:basedOn w:val="719"/>
    <w:next w:val="71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9"/>
    <w:next w:val="71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21"/>
    <w:link w:val="762"/>
    <w:uiPriority w:val="99"/>
  </w:style>
  <w:style w:type="character" w:styleId="44">
    <w:name w:val="Footer Char"/>
    <w:basedOn w:val="721"/>
    <w:link w:val="730"/>
    <w:uiPriority w:val="99"/>
  </w:style>
  <w:style w:type="paragraph" w:styleId="4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0"/>
    <w:uiPriority w:val="99"/>
  </w:style>
  <w:style w:type="table" w:styleId="48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1"/>
    <w:uiPriority w:val="99"/>
    <w:unhideWhenUsed/>
    <w:rPr>
      <w:vertAlign w:val="superscript"/>
    </w:rPr>
  </w:style>
  <w:style w:type="paragraph" w:styleId="177">
    <w:name w:val="endnote text"/>
    <w:basedOn w:val="71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1"/>
    <w:uiPriority w:val="99"/>
    <w:semiHidden/>
    <w:unhideWhenUsed/>
    <w:rPr>
      <w:vertAlign w:val="superscript"/>
    </w:rPr>
  </w:style>
  <w:style w:type="paragraph" w:styleId="180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lang w:val="uk-UA"/>
    </w:rPr>
  </w:style>
  <w:style w:type="paragraph" w:styleId="720">
    <w:name w:val="Heading 2"/>
    <w:basedOn w:val="719"/>
    <w:link w:val="73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>
    <w:name w:val="List Paragraph"/>
    <w:basedOn w:val="719"/>
    <w:link w:val="72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5" w:customStyle="1">
    <w:name w:val="Абзац списку Знак"/>
    <w:link w:val="724"/>
    <w:uiPriority w:val="99"/>
    <w:qFormat/>
    <w:rPr>
      <w:rFonts w:ascii="Calibri" w:hAnsi="Calibri" w:eastAsia="Calibri" w:cs="Calibri"/>
      <w:lang w:eastAsia="zh-CN"/>
    </w:rPr>
  </w:style>
  <w:style w:type="table" w:styleId="726">
    <w:name w:val="Table Grid"/>
    <w:basedOn w:val="7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Сетка таблицы2"/>
    <w:basedOn w:val="722"/>
    <w:next w:val="72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Normal (Web)"/>
    <w:basedOn w:val="719"/>
    <w:link w:val="735"/>
    <w:unhideWhenUsed/>
    <w:qFormat/>
    <w:rPr>
      <w:rFonts w:ascii="Times New Roman" w:hAnsi="Times New Roman" w:cs="Times New Roman"/>
      <w:sz w:val="24"/>
      <w:szCs w:val="24"/>
    </w:rPr>
  </w:style>
  <w:style w:type="table" w:styleId="729" w:customStyle="1">
    <w:name w:val="Сетка таблицы1"/>
    <w:basedOn w:val="722"/>
    <w:next w:val="72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Footer"/>
    <w:basedOn w:val="719"/>
    <w:link w:val="73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1" w:customStyle="1">
    <w:name w:val="Нижній колонтитул Знак"/>
    <w:basedOn w:val="721"/>
    <w:link w:val="730"/>
    <w:uiPriority w:val="99"/>
    <w:rPr>
      <w:rFonts w:ascii="Calibri" w:hAnsi="Calibri" w:eastAsia="Calibri" w:cs="Calibri"/>
      <w:lang w:eastAsia="zh-CN"/>
    </w:rPr>
  </w:style>
  <w:style w:type="paragraph" w:styleId="73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3">
    <w:name w:val="Hyperlink"/>
    <w:basedOn w:val="721"/>
    <w:uiPriority w:val="99"/>
    <w:unhideWhenUsed/>
    <w:rPr>
      <w:color w:val="0563c1" w:themeColor="hyperlink"/>
      <w:u w:val="single"/>
    </w:rPr>
  </w:style>
  <w:style w:type="character" w:styleId="734" w:customStyle="1">
    <w:name w:val="xfm_93972720"/>
    <w:basedOn w:val="721"/>
  </w:style>
  <w:style w:type="character" w:styleId="735" w:customStyle="1">
    <w:name w:val="Звичайний (веб) Знак"/>
    <w:link w:val="728"/>
    <w:qFormat/>
    <w:rPr>
      <w:rFonts w:ascii="Times New Roman" w:hAnsi="Times New Roman" w:cs="Times New Roman"/>
      <w:sz w:val="24"/>
      <w:szCs w:val="24"/>
      <w:lang w:val="uk-UA"/>
    </w:rPr>
  </w:style>
  <w:style w:type="paragraph" w:styleId="736">
    <w:name w:val="Body Text 2"/>
    <w:basedOn w:val="719"/>
    <w:link w:val="73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7" w:customStyle="1">
    <w:name w:val="Основний текст 2 Знак"/>
    <w:basedOn w:val="721"/>
    <w:link w:val="7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9" w:customStyle="1">
    <w:name w:val="Заголовок 2 Знак"/>
    <w:basedOn w:val="721"/>
    <w:link w:val="72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0">
    <w:name w:val="No Spacing"/>
    <w:link w:val="74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1" w:customStyle="1">
    <w:name w:val="Без інтервалів Знак"/>
    <w:basedOn w:val="721"/>
    <w:link w:val="740"/>
    <w:uiPriority w:val="1"/>
    <w:rPr>
      <w:rFonts w:ascii="Calibri" w:hAnsi="Calibri" w:eastAsia="Calibri" w:cs="Times New Roman"/>
      <w:lang w:val="uk-UA"/>
    </w:rPr>
  </w:style>
  <w:style w:type="character" w:styleId="742" w:customStyle="1">
    <w:name w:val="Другое_"/>
    <w:basedOn w:val="721"/>
    <w:link w:val="743"/>
    <w:rPr>
      <w:rFonts w:ascii="Calibri" w:hAnsi="Calibri" w:eastAsia="Calibri" w:cs="Calibri"/>
      <w:sz w:val="20"/>
      <w:szCs w:val="20"/>
    </w:rPr>
  </w:style>
  <w:style w:type="paragraph" w:styleId="743" w:customStyle="1">
    <w:name w:val="Другое"/>
    <w:basedOn w:val="719"/>
    <w:link w:val="74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5" w:customStyle="1">
    <w:name w:val="Основной текст (2)_"/>
    <w:basedOn w:val="721"/>
    <w:link w:val="746"/>
    <w:rPr>
      <w:rFonts w:eastAsia="Times New Roman" w:cs="Times New Roman"/>
      <w:shd w:val="clear" w:color="auto" w:fill="ffffff"/>
    </w:rPr>
  </w:style>
  <w:style w:type="paragraph" w:styleId="746" w:customStyle="1">
    <w:name w:val="Основной текст (2)"/>
    <w:basedOn w:val="719"/>
    <w:link w:val="74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7" w:customStyle="1">
    <w:name w:val="Текст у виносці Знак"/>
    <w:basedOn w:val="721"/>
    <w:link w:val="74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8">
    <w:name w:val="Balloon Text"/>
    <w:basedOn w:val="719"/>
    <w:link w:val="74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9" w:customStyle="1">
    <w:name w:val="Текст у виносці Знак1"/>
    <w:basedOn w:val="72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0" w:customStyle="1">
    <w:name w:val="T23"/>
    <w:rPr>
      <w:rFonts w:hint="default" w:ascii="Times New Roman" w:hAnsi="Times New Roman" w:eastAsia="Times New Roman1" w:cs="Times New Roman"/>
    </w:rPr>
  </w:style>
  <w:style w:type="paragraph" w:styleId="751" w:customStyle="1">
    <w:name w:val="Абзац списку1"/>
    <w:basedOn w:val="71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2" w:customStyle="1">
    <w:name w:val="markedcontent"/>
    <w:basedOn w:val="721"/>
  </w:style>
  <w:style w:type="paragraph" w:styleId="753">
    <w:name w:val="annotation text"/>
    <w:basedOn w:val="719"/>
    <w:link w:val="75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4" w:customStyle="1">
    <w:name w:val="Текст примітки Знак"/>
    <w:basedOn w:val="721"/>
    <w:link w:val="75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5">
    <w:name w:val="Body Text Indent"/>
    <w:basedOn w:val="719"/>
    <w:link w:val="75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56" w:customStyle="1">
    <w:name w:val="Основний текст з відступом Знак"/>
    <w:basedOn w:val="721"/>
    <w:link w:val="75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57">
    <w:name w:val="Body Text"/>
    <w:basedOn w:val="719"/>
    <w:link w:val="758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8" w:customStyle="1">
    <w:name w:val="Основний текст Знак"/>
    <w:basedOn w:val="721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9">
    <w:name w:val="annotation reference"/>
    <w:basedOn w:val="721"/>
    <w:uiPriority w:val="99"/>
    <w:semiHidden/>
    <w:unhideWhenUsed/>
    <w:rPr>
      <w:sz w:val="16"/>
      <w:szCs w:val="16"/>
    </w:rPr>
  </w:style>
  <w:style w:type="paragraph" w:styleId="760">
    <w:name w:val="annotation subject"/>
    <w:basedOn w:val="753"/>
    <w:next w:val="753"/>
    <w:link w:val="761"/>
    <w:uiPriority w:val="99"/>
    <w:semiHidden/>
    <w:unhideWhenUsed/>
    <w:rPr>
      <w:b/>
      <w:bCs/>
    </w:rPr>
  </w:style>
  <w:style w:type="character" w:styleId="761" w:customStyle="1">
    <w:name w:val="Тема примітки Знак"/>
    <w:basedOn w:val="754"/>
    <w:link w:val="76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62">
    <w:name w:val="Header"/>
    <w:basedOn w:val="719"/>
    <w:link w:val="763"/>
    <w:uiPriority w:val="99"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3" w:customStyle="1">
    <w:name w:val="Верхній колонтитул Знак"/>
    <w:basedOn w:val="721"/>
    <w:link w:val="7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4" w:customStyle="1">
    <w:name w:val="Неразрешенное упоминание1"/>
    <w:basedOn w:val="721"/>
    <w:uiPriority w:val="99"/>
    <w:semiHidden/>
    <w:unhideWhenUsed/>
    <w:rPr>
      <w:color w:val="605e5c"/>
      <w:shd w:val="clear" w:color="auto" w:fill="e1dfdd"/>
    </w:rPr>
  </w:style>
  <w:style w:type="paragraph" w:styleId="765" w:customStyle="1">
    <w:name w:val="tbl-txt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6">
    <w:name w:val="FollowedHyperlink"/>
    <w:basedOn w:val="721"/>
    <w:uiPriority w:val="99"/>
    <w:semiHidden/>
    <w:unhideWhenUsed/>
    <w:rPr>
      <w:color w:val="954f72" w:themeColor="followedHyperlink"/>
      <w:u w:val="single"/>
    </w:rPr>
  </w:style>
  <w:style w:type="paragraph" w:styleId="767" w:customStyle="1">
    <w:name w:val="msonormal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8" w:customStyle="1">
    <w:name w:val="xl63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69" w:customStyle="1">
    <w:name w:val="xl64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0" w:customStyle="1">
    <w:name w:val="xl65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1" w:customStyle="1">
    <w:name w:val="xl66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2" w:customStyle="1">
    <w:name w:val="xl67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3" w:customStyle="1">
    <w:name w:val="xl68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4" w:customStyle="1">
    <w:name w:val="xl6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5" w:customStyle="1">
    <w:name w:val="xl70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6" w:customStyle="1">
    <w:name w:val="xl71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7" w:customStyle="1">
    <w:name w:val="xl72"/>
    <w:basedOn w:val="719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8" w:customStyle="1">
    <w:name w:val="xl73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9" w:customStyle="1">
    <w:name w:val="xl74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0" w:customStyle="1">
    <w:name w:val="xl75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1" w:customStyle="1">
    <w:name w:val="xl76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2" w:customStyle="1">
    <w:name w:val="xl77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3" w:customStyle="1">
    <w:name w:val="xl78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4" w:customStyle="1">
    <w:name w:val="xl79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5" w:customStyle="1">
    <w:name w:val="xl80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786" w:customStyle="1">
    <w:name w:val="xl81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7" w:customStyle="1">
    <w:name w:val="xl82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8" w:customStyle="1">
    <w:name w:val="xl83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9" w:customStyle="1">
    <w:name w:val="xl84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0" w:customStyle="1">
    <w:name w:val="xl85"/>
    <w:basedOn w:val="719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1" w:customStyle="1">
    <w:name w:val="xl86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2" w:customStyle="1">
    <w:name w:val="xl87"/>
    <w:basedOn w:val="719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3" w:customStyle="1">
    <w:name w:val="xl88"/>
    <w:basedOn w:val="719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4" w:customStyle="1">
    <w:name w:val="xl8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5" w:customStyle="1">
    <w:name w:val="xl90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6" w:customStyle="1">
    <w:name w:val="xl91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7" w:customStyle="1">
    <w:name w:val="xl92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8" w:customStyle="1">
    <w:name w:val="xl93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9" w:customStyle="1">
    <w:name w:val="xl94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0" w:customStyle="1">
    <w:name w:val="xl95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1" w:customStyle="1">
    <w:name w:val="xl96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2" w:customStyle="1">
    <w:name w:val="xl97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3" w:customStyle="1">
    <w:name w:val="xl98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4" w:customStyle="1">
    <w:name w:val="xl99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5" w:customStyle="1">
    <w:name w:val="xl100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6" w:customStyle="1">
    <w:name w:val="xl101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7" w:customStyle="1">
    <w:name w:val="xl102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8" w:customStyle="1">
    <w:name w:val="xl103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9" w:customStyle="1">
    <w:name w:val="xl104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0" w:customStyle="1">
    <w:name w:val="xl105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1" w:customStyle="1">
    <w:name w:val="xl106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2" w:customStyle="1">
    <w:name w:val="xl107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3" w:customStyle="1">
    <w:name w:val="xl108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4" w:customStyle="1">
    <w:name w:val="xl10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5" w:customStyle="1">
    <w:name w:val="xl110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6" w:customStyle="1">
    <w:name w:val="xl111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7" w:customStyle="1">
    <w:name w:val="xl112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8" w:customStyle="1">
    <w:name w:val="xl113"/>
    <w:basedOn w:val="719"/>
    <w:pPr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9" w:customStyle="1">
    <w:name w:val="xl114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2023-12-13T21:39:59Z</dcterms:modified>
</cp:coreProperties>
</file>