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Паперові рушники та туалетний папір за кодом CPV за ЄЗС ДК 021:2015 - 33760000-5 Туалетний папір, носові хустинки, рушники для рук і серветки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1634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Паперові рушники та туалетний папір за кодом CPV за ЄЗС ДК 021:2015 - 33760000-5 Туалетний папір, носові хустинки, рушники для рук і серветки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Паперові</w:t>
            </w:r>
            <w:r>
              <w:rPr>
                <w:b/>
                <w:bCs/>
                <w:lang w:val="ru-RU"/>
              </w:rPr>
              <w:t xml:space="preserve"> рушники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уп</w:t>
            </w:r>
            <w:r>
              <w:rPr>
                <w:b/>
                <w:lang w:val="ru-RU"/>
              </w:rPr>
              <w:t xml:space="preserve">. (</w:t>
            </w:r>
            <w:r>
              <w:rPr>
                <w:b/>
                <w:lang w:val="ru-RU"/>
              </w:rPr>
              <w:t xml:space="preserve">пач</w:t>
            </w:r>
            <w:r>
              <w:rPr>
                <w:b/>
                <w:lang w:val="ru-RU"/>
              </w:rPr>
              <w:t xml:space="preserve">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500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 xml:space="preserve">Туалетний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папір</w:t>
            </w:r>
            <w:r>
              <w:rPr>
                <w:b/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шт. (</w:t>
            </w:r>
            <w:r>
              <w:rPr>
                <w:b/>
                <w:lang w:val="ru-RU"/>
              </w:rPr>
              <w:t xml:space="preserve">рул</w:t>
            </w:r>
            <w:r>
              <w:rPr>
                <w:b/>
                <w:lang w:val="ru-RU"/>
              </w:rPr>
              <w:t xml:space="preserve">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3200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Вимоги щодо якості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предмет закупівлі повинен бути 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вим, таким, що не перебував в експлуатації, терміни та умови його зберігання не порушені. Якість товару повинна відповідати вимогам відповідних діючих нормативних документів (ДСТУ, ТУ, тощо), екологічним і санітарно-гігієнічним нормам згідно законодавства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України, встановлених для даного виду товару. Якість товару повинна бути підтверджена сертифікатом якості виробника та/або сертифікатом відповідності та/або іншими документами, що підтверджують якість товару. Необхідність посилання на ДСТУ, ТУ, назви вироб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ника ґрунтується на великій кількості не якісного однорідного товару на ринку України зі схожими якісними та фізичними (експлуатаційними) характеристиками. Надати у складі тендерної пропозиції копії документів, що підтверджують вимоги щодо якості на Товар.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визначені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Опис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технічних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вимог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які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пропонуються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contextualSpacing/>
              <w:jc w:val="both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/>
            <w:bookmarkStart w:id="3" w:name="_Hlk13416792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Найменування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Одиниця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contextualSpacing/>
              <w:jc w:val="both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contextualSpacing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Паперові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рушники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500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contextualSpacing/>
              <w:spacing w:after="25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колір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білий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шарів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2,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листів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пачці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200 шт.,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складання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матеріал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100 %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целюлоза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розміри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менше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ніж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22,5 х 21 см.,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щільність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паперу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менше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ніж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16 г/м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запаху.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Туалетний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папір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шт.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3200</w:t>
            </w:r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contextualSpacing/>
              <w:spacing w:after="25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Style w:val="74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колір</w:t>
            </w:r>
            <w:r>
              <w:rPr>
                <w:rStyle w:val="74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Style w:val="74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білий</w:t>
            </w:r>
            <w:r>
              <w:rPr>
                <w:rStyle w:val="74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шарів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3,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відривів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140,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матеріал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100 %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целюлоза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щільність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паперу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 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більше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 г/м²,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перфорація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по 12 см., ширина –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9,3 см.,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довжина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рулона –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16,8 м., без запаху. </w:t>
            </w:r>
            <w:bookmarkEnd w:id="3"/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72 111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дві тисячі сто одинадцять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 w:customStyle="1">
    <w:name w:val="docdata"/>
    <w:basedOn w:val="70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2024-01-14T16:58:51Z</dcterms:modified>
</cp:coreProperties>
</file>