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з озеленення території за кодом CPV за ЄЗС ДК 021:2015: 77310000-6 Послуги з озеленення територій та утримання зелених насаджень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012691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я технічних та якісних характеристик предмета закупівлі:  </w:t>
      </w:r>
      <w:r>
        <w:rPr>
          <w:rFonts w:ascii="Times New Roman" w:hAnsi="Times New Roman" w:cs="Times New Roman"/>
          <w:sz w:val="24"/>
          <w:szCs w:val="24"/>
        </w:rPr>
        <w:t xml:space="preserve">Послуги з озеленення території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Послуги з озеленення території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посл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1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Hlk131682113"/>
      <w:r>
        <w:rPr>
          <w:rFonts w:ascii="Times New Roman" w:hAnsi="Times New Roman" w:cs="Times New Roman"/>
          <w:sz w:val="24"/>
          <w:szCs w:val="24"/>
        </w:rPr>
        <w:t xml:space="preserve">1.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0"/>
      <w:r/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 складі пропозиції просимо надати візуалізацію та/або картинку та/або фото Товару, що пропонується Учасником у складі тендерної пропозиції.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 разі необхідності Учасник за домовленістю із Замовником може відвідати об’єкт Замовника, для огляду, вимірів і </w:t>
      </w:r>
      <w:r>
        <w:rPr>
          <w:rFonts w:ascii="Times New Roman" w:hAnsi="Times New Roman" w:cs="Times New Roman"/>
          <w:sz w:val="24"/>
          <w:szCs w:val="24"/>
        </w:rPr>
        <w:t xml:space="preserve">т.д</w:t>
      </w:r>
      <w:r>
        <w:rPr>
          <w:rFonts w:ascii="Times New Roman" w:hAnsi="Times New Roman" w:cs="Times New Roman"/>
          <w:sz w:val="24"/>
          <w:szCs w:val="24"/>
        </w:rPr>
        <w:t xml:space="preserve">. для кращого прорахунку послуг, що закуповуються.</w:t>
      </w:r>
      <w:r/>
    </w:p>
    <w:p>
      <w:pPr>
        <w:pStyle w:val="681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1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71" w:type="dxa"/>
        <w:tblLook w:val="04A0" w:firstRow="1" w:lastRow="0" w:firstColumn="1" w:lastColumn="0" w:noHBand="0" w:noVBand="1"/>
      </w:tblPr>
      <w:tblGrid>
        <w:gridCol w:w="715"/>
        <w:gridCol w:w="6567"/>
        <w:gridCol w:w="1129"/>
        <w:gridCol w:w="1260"/>
      </w:tblGrid>
      <w:tr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Послуги з озеленення території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посл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</w:t>
            </w:r>
            <w:r/>
          </w:p>
        </w:tc>
      </w:tr>
      <w:tr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Послуги: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Планування площ ручним способом, група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ґрунту 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1000 м2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0,621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Підготовка ґрунту для влаштування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партерного та звичайного газонів вручну з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внесенням рослинної землі шаром 15 см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100м2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6,21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Підготовка вручну стандартних місць для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садіння кущів-саджанців у групи з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додаванням рослинної землі до 25%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 ям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Садіння кущів-саджанців у групи в ями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розміром 0,5х0,5 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10шт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Внесення органічних добрив при садінні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стандартних саджанців дерев та кущів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10м3 ям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Матеріали: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Вода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2,88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Земля рослинна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96,99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Кора соснова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Саджанці троянд кущові, привиті, всі групи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[осінь], 1 сорт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80</w:t>
            </w:r>
            <w:r/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425 631,20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чотириста двадцять п’ять тисяч шістсот тридцять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99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71</cp:revision>
  <dcterms:created xsi:type="dcterms:W3CDTF">2022-11-01T12:47:00Z</dcterms:created>
  <dcterms:modified xsi:type="dcterms:W3CDTF">2023-05-04T15:19:55Z</dcterms:modified>
</cp:coreProperties>
</file>