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45"/>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із технічного обслуговування Комплексів автоматичної фото/</w:t>
      </w:r>
      <w:r>
        <w:rPr>
          <w:b w:val="0"/>
          <w:bCs w:val="0"/>
          <w:sz w:val="24"/>
          <w:szCs w:val="24"/>
        </w:rPr>
        <w:t xml:space="preserve">відеофіксації</w:t>
      </w:r>
      <w:r>
        <w:rPr>
          <w:b w:val="0"/>
          <w:bCs w:val="0"/>
          <w:sz w:val="24"/>
          <w:szCs w:val="24"/>
        </w:rPr>
        <w:t xml:space="preserve"> правопорушень у сфері безпеки дорожнього руху “КАСКАД” </w:t>
      </w:r>
      <w:r>
        <w:rPr>
          <w:rStyle w:val="780"/>
          <w:b w:val="0"/>
          <w:bCs w:val="0"/>
          <w:color w:val="000000"/>
          <w:sz w:val="24"/>
          <w:szCs w:val="24"/>
          <w:shd w:val="clear" w:color="auto" w:fill="ffffff"/>
        </w:rPr>
        <w:t xml:space="preserve">за кодом CPV за ЄЗС ДК 021:2015: </w:t>
      </w:r>
      <w:r>
        <w:rPr>
          <w:b w:val="0"/>
          <w:bCs w:val="0"/>
          <w:sz w:val="24"/>
          <w:szCs w:val="24"/>
          <w:lang w:eastAsia="ru-RU"/>
        </w:rPr>
        <w:t xml:space="preserve">50410000-2 Послуги з ремонту і технічного обслуговування вимірювальних, випробувальних і контрольних приладів</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3403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Послуги із технічного обслуговування Комплексів автоматичної фото/</w:t>
      </w:r>
      <w:r>
        <w:rPr>
          <w:rFonts w:ascii="Times New Roman" w:hAnsi="Times New Roman" w:cs="Times New Roman"/>
          <w:sz w:val="24"/>
          <w:szCs w:val="24"/>
        </w:rPr>
        <w:t xml:space="preserve">відеофіксації</w:t>
      </w:r>
      <w:r>
        <w:rPr>
          <w:rFonts w:ascii="Times New Roman" w:hAnsi="Times New Roman" w:cs="Times New Roman"/>
          <w:sz w:val="24"/>
          <w:szCs w:val="24"/>
        </w:rPr>
        <w:t xml:space="preserve"> правопорушень у сфері безпеки дорожнього руху “КАСКАД” </w:t>
      </w:r>
      <w:r>
        <w:rPr>
          <w:rStyle w:val="780"/>
          <w:rFonts w:ascii="Times New Roman" w:hAnsi="Times New Roman" w:cs="Times New Roman"/>
          <w:color w:val="000000"/>
          <w:sz w:val="24"/>
          <w:szCs w:val="24"/>
          <w:shd w:val="clear" w:color="auto" w:fill="ffffff"/>
        </w:rPr>
        <w:t xml:space="preserve">за кодом CPV за ЄЗС ДК 021:2015: </w:t>
      </w:r>
      <w:r>
        <w:rPr>
          <w:rFonts w:ascii="Times New Roman" w:hAnsi="Times New Roman" w:eastAsia="Times New Roman" w:cs="Times New Roman"/>
          <w:sz w:val="24"/>
          <w:szCs w:val="24"/>
          <w:lang w:eastAsia="ru-RU"/>
        </w:rPr>
        <w:t xml:space="preserve">50410000-2 Послуги з ремонту і технічного обслуговування вимірювальних, випробувальних і контрольних приладів</w:t>
      </w:r>
      <w:r/>
    </w:p>
    <w:p>
      <w:pPr>
        <w:ind w:firstLine="357"/>
        <w:jc w:val="center"/>
        <w:spacing w:after="0" w:line="240" w:lineRule="auto"/>
        <w:rPr>
          <w:rFonts w:ascii="Times New Roman" w:hAnsi="Times New Roman" w:cs="Times New Roman"/>
          <w:b/>
          <w:color w:val="000000"/>
          <w:sz w:val="24"/>
          <w:szCs w:val="24"/>
        </w:rPr>
      </w:pPr>
      <w:r/>
      <w:bookmarkStart w:id="0" w:name="_Hlk133583335"/>
      <w:r/>
      <w:bookmarkEnd w:id="0"/>
      <w:r/>
    </w:p>
    <w:p>
      <w:pPr>
        <w:ind w:right="-1" w:firstLine="737"/>
        <w:jc w:val="center"/>
        <w:spacing w:after="0" w:line="240" w:lineRule="auto"/>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xml:space="preserve">ТЕХНІЧНІ ВИМОГИ</w:t>
      </w:r>
      <w:r/>
    </w:p>
    <w:p>
      <w:pPr>
        <w:numPr>
          <w:ilvl w:val="0"/>
          <w:numId w:val="32"/>
        </w:numPr>
        <w:contextualSpacing/>
        <w:jc w:val="center"/>
        <w:spacing w:after="0" w:line="240" w:lineRule="auto"/>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xml:space="preserve">Загальна інформація.</w:t>
      </w:r>
      <w:r/>
    </w:p>
    <w:p>
      <w:pPr>
        <w:contextualSpacing/>
        <w:ind w:firstLine="709"/>
        <w:jc w:val="both"/>
        <w:spacing w:after="0" w:line="240" w:lineRule="auto"/>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 xml:space="preserve">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r>
        <w:rPr>
          <w:rFonts w:ascii="Times New Roman" w:hAnsi="Times New Roman" w:eastAsia="Calibri" w:cs="Times New Roman"/>
          <w:bCs/>
          <w:sz w:val="24"/>
          <w:szCs w:val="24"/>
          <w:lang w:eastAsia="ru-RU"/>
        </w:rPr>
        <w:t xml:space="preserve">відеофіксації</w:t>
      </w:r>
      <w:r>
        <w:rPr>
          <w:rFonts w:ascii="Times New Roman" w:hAnsi="Times New Roman" w:eastAsia="Calibri" w:cs="Times New Roman"/>
          <w:bCs/>
          <w:sz w:val="24"/>
          <w:szCs w:val="24"/>
          <w:lang w:eastAsia="ru-RU"/>
        </w:rPr>
        <w:t xml:space="preserve"> правопорушень у сфері безпеки дорожнього руху “КАСКАД”» (далі – Комплекс «Каскад»), які здійснюються шляхом виконання робіт з обслуговування відповідно до експлуатаційної докуме</w:t>
      </w:r>
      <w:r>
        <w:rPr>
          <w:rFonts w:ascii="Times New Roman" w:hAnsi="Times New Roman" w:eastAsia="Calibri" w:cs="Times New Roman"/>
          <w:bCs/>
          <w:sz w:val="24"/>
          <w:szCs w:val="24"/>
          <w:lang w:eastAsia="ru-RU"/>
        </w:rPr>
        <w:t xml:space="preserve">нтації та згідно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№326.</w:t>
      </w:r>
      <w:r/>
    </w:p>
    <w:p>
      <w:pPr>
        <w:ind w:firstLine="720"/>
        <w:jc w:val="both"/>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Комплекс «КАСКАД» вироблений ТОВ «Українські системні інновації» та забезпечує в автоматичному режимі фотозйомку та відеозапис подій, що містять</w:t>
      </w:r>
      <w:r>
        <w:rPr>
          <w:rFonts w:ascii="Times New Roman" w:hAnsi="Times New Roman" w:eastAsia="Times New Roman" w:cs="Times New Roman"/>
          <w:sz w:val="24"/>
          <w:szCs w:val="24"/>
          <w:lang w:eastAsia="uk-UA"/>
        </w:rPr>
        <w:t xml:space="preserve">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телекомунікаційними мережами до автоматизованої системи обробки даних МВС. </w:t>
      </w:r>
      <w:r/>
    </w:p>
    <w:p>
      <w:pPr>
        <w:ind w:firstLine="720"/>
        <w:jc w:val="both"/>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Технічні обслуговування проводяться з метою підтримання працездатного стану Комплексів </w:t>
      </w:r>
      <w:r>
        <w:rPr>
          <w:rFonts w:ascii="Times New Roman" w:hAnsi="Times New Roman" w:eastAsia="Times New Roman" w:cs="Times New Roman"/>
          <w:sz w:val="24"/>
          <w:szCs w:val="24"/>
          <w:lang w:val="ru-RU" w:eastAsia="uk-UA"/>
        </w:rPr>
        <w:t xml:space="preserve">«</w:t>
      </w:r>
      <w:r>
        <w:rPr>
          <w:rFonts w:ascii="Times New Roman" w:hAnsi="Times New Roman" w:eastAsia="Times New Roman" w:cs="Times New Roman"/>
          <w:sz w:val="24"/>
          <w:szCs w:val="24"/>
          <w:lang w:eastAsia="uk-UA"/>
        </w:rPr>
        <w:t xml:space="preserve">КАСКАД</w:t>
      </w:r>
      <w:r>
        <w:rPr>
          <w:rFonts w:ascii="Times New Roman" w:hAnsi="Times New Roman" w:eastAsia="Times New Roman" w:cs="Times New Roman"/>
          <w:sz w:val="24"/>
          <w:szCs w:val="24"/>
          <w:lang w:val="ru-RU" w:eastAsia="uk-UA"/>
        </w:rPr>
        <w:t xml:space="preserve">» в </w:t>
      </w:r>
      <w:r>
        <w:rPr>
          <w:rFonts w:ascii="Times New Roman" w:hAnsi="Times New Roman" w:eastAsia="Times New Roman" w:cs="Times New Roman"/>
          <w:sz w:val="24"/>
          <w:szCs w:val="24"/>
          <w:lang w:val="ru-RU" w:eastAsia="uk-UA"/>
        </w:rPr>
        <w:t xml:space="preserve">робочі</w:t>
      </w:r>
      <w:r>
        <w:rPr>
          <w:rFonts w:ascii="Times New Roman" w:hAnsi="Times New Roman" w:eastAsia="Times New Roman" w:cs="Times New Roman"/>
          <w:sz w:val="24"/>
          <w:szCs w:val="24"/>
          <w:lang w:val="ru-RU" w:eastAsia="uk-UA"/>
        </w:rPr>
        <w:t xml:space="preserve"> </w:t>
      </w:r>
      <w:r>
        <w:rPr>
          <w:rFonts w:ascii="Times New Roman" w:hAnsi="Times New Roman" w:eastAsia="Times New Roman" w:cs="Times New Roman"/>
          <w:sz w:val="24"/>
          <w:szCs w:val="24"/>
          <w:lang w:val="ru-RU" w:eastAsia="uk-UA"/>
        </w:rPr>
        <w:t xml:space="preserve">дні</w:t>
      </w:r>
      <w:r>
        <w:rPr>
          <w:rFonts w:ascii="Times New Roman" w:hAnsi="Times New Roman" w:eastAsia="Times New Roman" w:cs="Times New Roman"/>
          <w:sz w:val="24"/>
          <w:szCs w:val="24"/>
          <w:lang w:val="ru-RU" w:eastAsia="uk-UA"/>
        </w:rPr>
        <w:t xml:space="preserve"> з 09:00 до 18:00, у </w:t>
      </w:r>
      <w:r>
        <w:rPr>
          <w:rFonts w:ascii="Times New Roman" w:hAnsi="Times New Roman" w:eastAsia="Times New Roman" w:cs="Times New Roman"/>
          <w:sz w:val="24"/>
          <w:szCs w:val="24"/>
          <w:lang w:val="ru-RU" w:eastAsia="uk-UA"/>
        </w:rPr>
        <w:t xml:space="preserve">вихідні</w:t>
      </w:r>
      <w:r>
        <w:rPr>
          <w:rFonts w:ascii="Times New Roman" w:hAnsi="Times New Roman" w:eastAsia="Times New Roman" w:cs="Times New Roman"/>
          <w:sz w:val="24"/>
          <w:szCs w:val="24"/>
          <w:lang w:val="ru-RU" w:eastAsia="uk-UA"/>
        </w:rPr>
        <w:t xml:space="preserve"> </w:t>
      </w:r>
      <w:r>
        <w:rPr>
          <w:rFonts w:ascii="Times New Roman" w:hAnsi="Times New Roman" w:eastAsia="Times New Roman" w:cs="Times New Roman"/>
          <w:sz w:val="24"/>
          <w:szCs w:val="24"/>
          <w:lang w:val="ru-RU" w:eastAsia="uk-UA"/>
        </w:rPr>
        <w:t xml:space="preserve">дні</w:t>
      </w:r>
      <w:r>
        <w:rPr>
          <w:rFonts w:ascii="Times New Roman" w:hAnsi="Times New Roman" w:eastAsia="Times New Roman" w:cs="Times New Roman"/>
          <w:sz w:val="24"/>
          <w:szCs w:val="24"/>
          <w:lang w:val="ru-RU" w:eastAsia="uk-UA"/>
        </w:rPr>
        <w:t xml:space="preserve"> з 09:00 до 16:00</w:t>
      </w:r>
      <w:r>
        <w:rPr>
          <w:rFonts w:ascii="Times New Roman" w:hAnsi="Times New Roman" w:eastAsia="Times New Roman" w:cs="Times New Roman"/>
          <w:sz w:val="24"/>
          <w:szCs w:val="24"/>
          <w:lang w:eastAsia="uk-UA"/>
        </w:rPr>
        <w:t xml:space="preserve">.</w:t>
      </w:r>
      <w:r/>
    </w:p>
    <w:p>
      <w:pPr>
        <w:ind w:firstLine="720"/>
        <w:jc w:val="both"/>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p>
      <w:pPr>
        <w:contextualSpacing/>
        <w:jc w:val="both"/>
        <w:spacing w:after="0" w:line="240" w:lineRule="auto"/>
        <w:rPr>
          <w:rFonts w:ascii="Times New Roman" w:hAnsi="Times New Roman" w:eastAsia="Calibri" w:cs="Times New Roman"/>
          <w:i/>
          <w:sz w:val="24"/>
          <w:szCs w:val="24"/>
          <w:lang w:eastAsia="ru-RU"/>
        </w:rPr>
      </w:pPr>
      <w:r>
        <w:rPr>
          <w:rFonts w:ascii="Times New Roman" w:hAnsi="Times New Roman" w:eastAsia="Calibri" w:cs="Times New Roman"/>
          <w:b/>
          <w:sz w:val="24"/>
          <w:szCs w:val="24"/>
          <w:lang w:eastAsia="ru-RU"/>
        </w:rPr>
        <w:t xml:space="preserve">2. Місця розташування та кількість Комплексів «Каскад», що підлягають технічному обслуговуванню:</w:t>
      </w:r>
      <w:r>
        <w:rPr>
          <w:rFonts w:ascii="Times New Roman" w:hAnsi="Times New Roman" w:eastAsia="Calibri" w:cs="Times New Roman"/>
          <w:i/>
          <w:sz w:val="24"/>
          <w:szCs w:val="24"/>
          <w:lang w:eastAsia="ru-RU"/>
        </w:rPr>
        <w:t xml:space="preserve"> </w:t>
      </w:r>
      <w:r/>
    </w:p>
    <w:tbl>
      <w:tblPr>
        <w:tblW w:w="9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28"/>
        <w:gridCol w:w="6945"/>
        <w:gridCol w:w="1556"/>
      </w:tblGrid>
      <w:tr>
        <w:trPr>
          <w:trHeight w:val="300"/>
        </w:trPr>
        <w:tc>
          <w:tcPr>
            <w:shd w:val="clear" w:color="auto" w:fill="auto"/>
            <w:tcW w:w="1128"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uk-UA"/>
              </w:rPr>
            </w:pPr>
            <w:r/>
            <w:bookmarkStart w:id="1" w:name="_ix7pg7m7aggh"/>
            <w:r/>
            <w:bookmarkEnd w:id="1"/>
            <w:r>
              <w:rPr>
                <w:rFonts w:ascii="Times New Roman" w:hAnsi="Times New Roman" w:eastAsia="Times New Roman" w:cs="Times New Roman"/>
                <w:sz w:val="24"/>
                <w:szCs w:val="24"/>
                <w:lang w:eastAsia="uk-UA"/>
              </w:rPr>
              <w:t xml:space="preserve">№ п/п</w:t>
            </w:r>
            <w:r/>
          </w:p>
        </w:tc>
        <w:tc>
          <w:tcPr>
            <w:shd w:val="clear" w:color="auto" w:fill="auto"/>
            <w:tcW w:w="6945"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Адреса встановлення</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Кількість</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490 + 400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555 + 730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555 + 662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294 + 260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М07 Київ - Ковель - Ягодин 37 + 700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 - Обухів 14+116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35 + 240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35 + 352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28 + 450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28 + 870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 - Харків - Довжанський 101 + 400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 - Харків - Довжанський 101 + 350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 - Харків - Довжанський 49 + 150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19 + 400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Н01 Київ - </w:t>
            </w:r>
            <w:r>
              <w:rPr>
                <w:rFonts w:ascii="Times New Roman" w:hAnsi="Times New Roman" w:cs="Times New Roman"/>
                <w:sz w:val="24"/>
                <w:szCs w:val="24"/>
              </w:rPr>
              <w:t xml:space="preserve">Знамянка</w:t>
            </w:r>
            <w:r>
              <w:rPr>
                <w:rFonts w:ascii="Times New Roman" w:hAnsi="Times New Roman" w:cs="Times New Roman"/>
                <w:sz w:val="24"/>
                <w:szCs w:val="24"/>
              </w:rPr>
              <w:t xml:space="preserve"> 26 + 088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15 + 250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66 + 250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15 +740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Н01 Київ - </w:t>
            </w:r>
            <w:r>
              <w:rPr>
                <w:rFonts w:ascii="Times New Roman" w:hAnsi="Times New Roman" w:cs="Times New Roman"/>
                <w:sz w:val="24"/>
                <w:szCs w:val="24"/>
              </w:rPr>
              <w:t xml:space="preserve">Знамянка</w:t>
            </w:r>
            <w:r>
              <w:rPr>
                <w:rFonts w:ascii="Times New Roman" w:hAnsi="Times New Roman" w:cs="Times New Roman"/>
                <w:sz w:val="24"/>
                <w:szCs w:val="24"/>
              </w:rPr>
              <w:t xml:space="preserve"> 26 + 050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 - Обухів 14+016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М07 Київ - Ковель - Ягодин 44 + 100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24 + 400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24 + 700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46 + 050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49 + 700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21 + 730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21 + 810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М07 Київ - Ковель - Ягодин 23 + 550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М30 Стрий - Умань - Дніпро - Ізварине 376 + 261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М30 Стрий - Умань - Дніпро - Ізварине 404 + 377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М30 Стрий - Умань - Дніпро - Ізварине 404 + 640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М30 Стрий - Умань - Дніпро - Ізварине 371 + 527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Н22 Устилуг - Луцьк - Рівне 82 + 575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Н22 Устилуг - Луцьк - Рівне 95 + 200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Н22 Устилуг - Луцьк - Рівне 19 + 098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М19 </w:t>
            </w:r>
            <w:r>
              <w:rPr>
                <w:rFonts w:ascii="Times New Roman" w:hAnsi="Times New Roman" w:cs="Times New Roman"/>
                <w:sz w:val="24"/>
                <w:szCs w:val="24"/>
              </w:rPr>
              <w:t xml:space="preserve">Доманове</w:t>
            </w:r>
            <w:r>
              <w:rPr>
                <w:rFonts w:ascii="Times New Roman" w:hAnsi="Times New Roman" w:cs="Times New Roman"/>
                <w:sz w:val="24"/>
                <w:szCs w:val="24"/>
              </w:rPr>
              <w:t xml:space="preserve"> - Ковель - Чернівці - </w:t>
            </w:r>
            <w:r>
              <w:rPr>
                <w:rFonts w:ascii="Times New Roman" w:hAnsi="Times New Roman" w:cs="Times New Roman"/>
                <w:sz w:val="24"/>
                <w:szCs w:val="24"/>
              </w:rPr>
              <w:t xml:space="preserve">Тереблече</w:t>
            </w:r>
            <w:r>
              <w:rPr>
                <w:rFonts w:ascii="Times New Roman" w:hAnsi="Times New Roman" w:cs="Times New Roman"/>
                <w:sz w:val="24"/>
                <w:szCs w:val="24"/>
              </w:rPr>
              <w:t xml:space="preserve"> 129 + 788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М07 Київ - Ковель - Ягодин 444 + 971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94 + 461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94+686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97+297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97+627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127+246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158+305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174+600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230+853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780+785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772+750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Київ-Обухів 9+784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Київ-Обухів 9+994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Київ-Обухів 3+441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Київ-Обухів 3+461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M05 Київ-Одеса 248+169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M05 Київ-Одеса 253+462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 Львів-Краковець 10+100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447+803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М11 Львів-Шегині 16+153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 Львів-Краковець 21+671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М09 Тернопіль-Львів-Рава-Руська 137+971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Н17 Львів-Радехів-Луцьк 4+898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М10-01 Західний обхід м. Львова 12+514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 Львів-Краковець 53+580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552+486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685+309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528+459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523+260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528+459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439+352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541+451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541+296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510+120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Н17 Львів-Радехів-Луцьк 3+064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М10-01 Західний обхід м. Львова 3+360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Київ-Одеса 465+483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Т-16-28 Спаське-</w:t>
            </w:r>
            <w:r>
              <w:rPr>
                <w:rFonts w:ascii="Times New Roman" w:hAnsi="Times New Roman" w:cs="Times New Roman"/>
                <w:sz w:val="24"/>
                <w:szCs w:val="24"/>
              </w:rPr>
              <w:t xml:space="preserve">Вилково</w:t>
            </w:r>
            <w:r>
              <w:rPr>
                <w:rFonts w:ascii="Times New Roman" w:hAnsi="Times New Roman" w:cs="Times New Roman"/>
                <w:sz w:val="24"/>
                <w:szCs w:val="24"/>
              </w:rPr>
              <w:t xml:space="preserve"> 3+015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Київ-Харків-Довжанський 155+696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Київ-Харків-Довжанський 319+374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Київ-Харків-Довжанський 324+515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М22 Полтава-Олександрія 30+459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340+202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371+971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М01 Київ-Чернігів-Нові </w:t>
            </w:r>
            <w:r>
              <w:rPr>
                <w:rFonts w:ascii="Times New Roman" w:hAnsi="Times New Roman" w:cs="Times New Roman"/>
                <w:sz w:val="24"/>
                <w:szCs w:val="24"/>
              </w:rPr>
              <w:t xml:space="preserve">Яриловичі</w:t>
            </w:r>
            <w:r>
              <w:rPr>
                <w:rFonts w:ascii="Times New Roman" w:hAnsi="Times New Roman" w:cs="Times New Roman"/>
                <w:sz w:val="24"/>
                <w:szCs w:val="24"/>
              </w:rPr>
              <w:t xml:space="preserve"> 113+864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М-02 Кіпті-Глухів-</w:t>
            </w:r>
            <w:r>
              <w:rPr>
                <w:rFonts w:ascii="Times New Roman" w:hAnsi="Times New Roman" w:cs="Times New Roman"/>
                <w:sz w:val="24"/>
                <w:szCs w:val="24"/>
              </w:rPr>
              <w:t xml:space="preserve">Бачівськ</w:t>
            </w:r>
            <w:r>
              <w:rPr>
                <w:rFonts w:ascii="Times New Roman" w:hAnsi="Times New Roman" w:cs="Times New Roman"/>
                <w:sz w:val="24"/>
                <w:szCs w:val="24"/>
              </w:rPr>
              <w:t xml:space="preserve"> 125+385 км</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Н27 Чернігів-</w:t>
            </w:r>
            <w:r>
              <w:rPr>
                <w:rFonts w:ascii="Times New Roman" w:hAnsi="Times New Roman" w:cs="Times New Roman"/>
                <w:sz w:val="24"/>
                <w:szCs w:val="24"/>
              </w:rPr>
              <w:t xml:space="preserve">Мена</w:t>
            </w:r>
            <w:r>
              <w:rPr>
                <w:rFonts w:ascii="Times New Roman" w:hAnsi="Times New Roman" w:cs="Times New Roman"/>
                <w:sz w:val="24"/>
                <w:szCs w:val="24"/>
              </w:rPr>
              <w:t xml:space="preserve">-Сосниця-</w:t>
            </w:r>
            <w:r>
              <w:rPr>
                <w:rFonts w:ascii="Times New Roman" w:hAnsi="Times New Roman" w:cs="Times New Roman"/>
                <w:sz w:val="24"/>
                <w:szCs w:val="24"/>
              </w:rPr>
              <w:t xml:space="preserve">Грем’яч</w:t>
            </w:r>
            <w:r>
              <w:rPr>
                <w:rFonts w:ascii="Times New Roman" w:hAnsi="Times New Roman" w:cs="Times New Roman"/>
                <w:sz w:val="24"/>
                <w:szCs w:val="24"/>
              </w:rPr>
              <w:t xml:space="preserve"> 11+903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Стрийська, 35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пр-т Святого Івана Павла II, 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пр-т. Святого Івана Павла ІІ, 35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394+318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Стрийська, 292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Княгині Ольги, 100К</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Василя Стуса, 39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Сихівська, 16А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Шевченка, 313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Володимира Великого 18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274-й квартал, 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вул. Андрія Ковальова, 17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пр-т Свободи, 120/25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пр-т. Свободи, 69А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пр-т. Добровольського, 123А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пр-т. Шевченка, 4А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Миколаївська дорога, 287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пр-т. Небесної Сотні, 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Миколаївська дорога, 205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вул. Семена Палія, 80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Південна дорога, 39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Південна дорога, 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вул. Семена Палія, 25А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Героїв України, 9Т</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Євгена Коновальця, 411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пр-т. Хіміків, 30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вул. Благовісна, 341/40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вул. Благовісна, 36/47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вул. </w:t>
            </w:r>
            <w:r>
              <w:rPr>
                <w:rFonts w:ascii="Times New Roman" w:hAnsi="Times New Roman" w:cs="Times New Roman"/>
                <w:sz w:val="24"/>
                <w:szCs w:val="24"/>
              </w:rPr>
              <w:t xml:space="preserve">Надпільна</w:t>
            </w:r>
            <w:r>
              <w:rPr>
                <w:rFonts w:ascii="Times New Roman" w:hAnsi="Times New Roman" w:cs="Times New Roman"/>
                <w:sz w:val="24"/>
                <w:szCs w:val="24"/>
              </w:rPr>
              <w:t xml:space="preserve">, 208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Чернівці, вул. Винниченка, 116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Чернівці, </w:t>
            </w:r>
            <w:r>
              <w:rPr>
                <w:rFonts w:ascii="Times New Roman" w:hAnsi="Times New Roman" w:cs="Times New Roman"/>
                <w:sz w:val="24"/>
                <w:szCs w:val="24"/>
              </w:rPr>
              <w:t xml:space="preserve">Старожучківський</w:t>
            </w:r>
            <w:r>
              <w:rPr>
                <w:rFonts w:ascii="Times New Roman" w:hAnsi="Times New Roman" w:cs="Times New Roman"/>
                <w:sz w:val="24"/>
                <w:szCs w:val="24"/>
              </w:rPr>
              <w:t xml:space="preserve"> шлях у напрямку вул. </w:t>
            </w:r>
            <w:r>
              <w:rPr>
                <w:rFonts w:ascii="Times New Roman" w:hAnsi="Times New Roman" w:cs="Times New Roman"/>
                <w:sz w:val="24"/>
                <w:szCs w:val="24"/>
              </w:rPr>
              <w:t xml:space="preserve">Староконстянтинівська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Чернівці, </w:t>
            </w:r>
            <w:r>
              <w:rPr>
                <w:rFonts w:ascii="Times New Roman" w:hAnsi="Times New Roman" w:cs="Times New Roman"/>
                <w:sz w:val="24"/>
                <w:szCs w:val="24"/>
              </w:rPr>
              <w:t xml:space="preserve">Старожучківський</w:t>
            </w:r>
            <w:r>
              <w:rPr>
                <w:rFonts w:ascii="Times New Roman" w:hAnsi="Times New Roman" w:cs="Times New Roman"/>
                <w:sz w:val="24"/>
                <w:szCs w:val="24"/>
              </w:rPr>
              <w:t xml:space="preserve"> шлях у напрямку вул. Білоруська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Хуст, вул. Волошина, 81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пр-т. Злуки, 47Б</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пр-т Злуки, 45Б</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вул. Степана </w:t>
            </w:r>
            <w:r>
              <w:rPr>
                <w:rFonts w:ascii="Times New Roman" w:hAnsi="Times New Roman" w:cs="Times New Roman"/>
                <w:sz w:val="24"/>
                <w:szCs w:val="24"/>
              </w:rPr>
              <w:t xml:space="preserve">Будного</w:t>
            </w:r>
            <w:r>
              <w:rPr>
                <w:rFonts w:ascii="Times New Roman" w:hAnsi="Times New Roman" w:cs="Times New Roman"/>
                <w:sz w:val="24"/>
                <w:szCs w:val="24"/>
              </w:rPr>
              <w:t xml:space="preserve">, 28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Чернівці, вул. Винниченка, 97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Хуст, вул. Івана Франка, 165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Хуст, вул. Львівська, 157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Науки, 12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Науки, 7в</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Науки, 60a</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Білгородське шосе, 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Білгородське шосе, 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вул. Полтавський Шлях, 62Б</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вул. Полтавський Шлях, 79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Льва Ландау, 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Героїв Харкова, 86а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вул. Героїв Праці, 2/48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Запоріжжя, вул. Немировича-Данченка, 73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Запоріжжя, Дніпро ГЕС</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Запоріжжя, вул. Істоміна, 125а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Запоріжжя, вул. Будинок Відпочинку (поворот до музею)</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Євгена Коновальця, 320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Тисменицька, 311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Кропивницький, вул. </w:t>
            </w:r>
            <w:r>
              <w:rPr>
                <w:rFonts w:ascii="Times New Roman" w:hAnsi="Times New Roman" w:cs="Times New Roman"/>
                <w:sz w:val="24"/>
                <w:szCs w:val="24"/>
              </w:rPr>
              <w:t xml:space="preserve">Габдрахманова</w:t>
            </w:r>
            <w:r>
              <w:rPr>
                <w:rFonts w:ascii="Times New Roman" w:hAnsi="Times New Roman" w:cs="Times New Roman"/>
                <w:sz w:val="24"/>
                <w:szCs w:val="24"/>
              </w:rPr>
              <w:t xml:space="preserve">, 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Кропивницький, вул. </w:t>
            </w:r>
            <w:r>
              <w:rPr>
                <w:rFonts w:ascii="Times New Roman" w:hAnsi="Times New Roman" w:cs="Times New Roman"/>
                <w:sz w:val="24"/>
                <w:szCs w:val="24"/>
              </w:rPr>
              <w:t xml:space="preserve">Габдрахманова</w:t>
            </w:r>
            <w:r>
              <w:rPr>
                <w:rFonts w:ascii="Times New Roman" w:hAnsi="Times New Roman" w:cs="Times New Roman"/>
                <w:sz w:val="24"/>
                <w:szCs w:val="24"/>
              </w:rPr>
              <w:t xml:space="preserve">, 35А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вул. </w:t>
            </w:r>
            <w:r>
              <w:rPr>
                <w:rFonts w:ascii="Times New Roman" w:hAnsi="Times New Roman" w:cs="Times New Roman"/>
                <w:sz w:val="24"/>
                <w:szCs w:val="24"/>
              </w:rPr>
              <w:t xml:space="preserve">Протасевича</w:t>
            </w:r>
            <w:r>
              <w:rPr>
                <w:rFonts w:ascii="Times New Roman" w:hAnsi="Times New Roman" w:cs="Times New Roman"/>
                <w:sz w:val="24"/>
                <w:szCs w:val="24"/>
              </w:rPr>
              <w:t xml:space="preserve">, 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Галицька, 144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w:t>
            </w:r>
            <w:r>
              <w:rPr>
                <w:rFonts w:ascii="Times New Roman" w:hAnsi="Times New Roman" w:cs="Times New Roman"/>
                <w:sz w:val="24"/>
                <w:szCs w:val="24"/>
              </w:rPr>
              <w:t xml:space="preserve">Крихівецька</w:t>
            </w:r>
            <w:r>
              <w:rPr>
                <w:rFonts w:ascii="Times New Roman" w:hAnsi="Times New Roman" w:cs="Times New Roman"/>
                <w:sz w:val="24"/>
                <w:szCs w:val="24"/>
              </w:rPr>
              <w:t xml:space="preserve">, 216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Луцьк, вул. Ковельська, 147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Луцьк, вул. В'ячеслава </w:t>
            </w:r>
            <w:r>
              <w:rPr>
                <w:rFonts w:ascii="Times New Roman" w:hAnsi="Times New Roman" w:cs="Times New Roman"/>
                <w:sz w:val="24"/>
                <w:szCs w:val="24"/>
              </w:rPr>
              <w:t xml:space="preserve">Чорновола</w:t>
            </w:r>
            <w:r>
              <w:rPr>
                <w:rFonts w:ascii="Times New Roman" w:hAnsi="Times New Roman" w:cs="Times New Roman"/>
                <w:sz w:val="24"/>
                <w:szCs w:val="24"/>
              </w:rPr>
              <w:t xml:space="preserve">, 17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Маршала Бірюзова, 32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Маршала Бірюзова, 35\14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Світанкова, 14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w:t>
            </w:r>
            <w:r>
              <w:rPr>
                <w:rFonts w:ascii="Times New Roman" w:hAnsi="Times New Roman" w:cs="Times New Roman"/>
                <w:sz w:val="24"/>
                <w:szCs w:val="24"/>
              </w:rPr>
              <w:t xml:space="preserve">Великотирнівська</w:t>
            </w:r>
            <w:r>
              <w:rPr>
                <w:rFonts w:ascii="Times New Roman" w:hAnsi="Times New Roman" w:cs="Times New Roman"/>
                <w:sz w:val="24"/>
                <w:szCs w:val="24"/>
              </w:rPr>
              <w:t xml:space="preserve">, 19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Європейська, 155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Героїв АТО, 31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Луцьк, вул. Ковельська, 144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Луцьк, вул. </w:t>
            </w:r>
            <w:r>
              <w:rPr>
                <w:rFonts w:ascii="Times New Roman" w:hAnsi="Times New Roman" w:cs="Times New Roman"/>
                <w:sz w:val="24"/>
                <w:szCs w:val="24"/>
              </w:rPr>
              <w:t xml:space="preserve">Конякіна</w:t>
            </w:r>
            <w:r>
              <w:rPr>
                <w:rFonts w:ascii="Times New Roman" w:hAnsi="Times New Roman" w:cs="Times New Roman"/>
                <w:sz w:val="24"/>
                <w:szCs w:val="24"/>
              </w:rPr>
              <w:t xml:space="preserve">, 18А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вул. </w:t>
            </w:r>
            <w:r>
              <w:rPr>
                <w:rFonts w:ascii="Times New Roman" w:hAnsi="Times New Roman" w:cs="Times New Roman"/>
                <w:sz w:val="24"/>
                <w:szCs w:val="24"/>
              </w:rPr>
              <w:t xml:space="preserve">Келецька</w:t>
            </w:r>
            <w:r>
              <w:rPr>
                <w:rFonts w:ascii="Times New Roman" w:hAnsi="Times New Roman" w:cs="Times New Roman"/>
                <w:sz w:val="24"/>
                <w:szCs w:val="24"/>
              </w:rPr>
              <w:t xml:space="preserve">, 30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пр-т. Юності, 46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вул. Київська, 126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вул. Київська, 65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пр-т. Хіміків, 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328+826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Біла Церква, вул. Леваневського, 48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Біла </w:t>
            </w:r>
            <w:r>
              <w:rPr>
                <w:rFonts w:ascii="Times New Roman" w:hAnsi="Times New Roman" w:cs="Times New Roman"/>
                <w:sz w:val="24"/>
                <w:szCs w:val="24"/>
              </w:rPr>
              <w:t xml:space="preserve">Церква,проспект</w:t>
            </w:r>
            <w:r>
              <w:rPr>
                <w:rFonts w:ascii="Times New Roman" w:hAnsi="Times New Roman" w:cs="Times New Roman"/>
                <w:sz w:val="24"/>
                <w:szCs w:val="24"/>
              </w:rPr>
              <w:t xml:space="preserve"> Князя Володимира (біля вул. Надрічна, 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Хмельницький, вул. Вінницьке шосе, 8/1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Хмельницький, вул. </w:t>
            </w:r>
            <w:r>
              <w:rPr>
                <w:rFonts w:ascii="Times New Roman" w:hAnsi="Times New Roman" w:cs="Times New Roman"/>
                <w:sz w:val="24"/>
                <w:szCs w:val="24"/>
              </w:rPr>
              <w:t xml:space="preserve">Кам'янецька</w:t>
            </w:r>
            <w:r>
              <w:rPr>
                <w:rFonts w:ascii="Times New Roman" w:hAnsi="Times New Roman" w:cs="Times New Roman"/>
                <w:sz w:val="24"/>
                <w:szCs w:val="24"/>
              </w:rPr>
              <w:t xml:space="preserve">, 132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Хмельницький, пр-т. Миру, 65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пр-т. Степана Бандери, 90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w:t>
            </w:r>
            <w:r>
              <w:rPr>
                <w:rFonts w:ascii="Times New Roman" w:hAnsi="Times New Roman" w:cs="Times New Roman"/>
                <w:sz w:val="24"/>
                <w:szCs w:val="24"/>
              </w:rPr>
              <w:t xml:space="preserve">Чорновола</w:t>
            </w:r>
            <w:r>
              <w:rPr>
                <w:rFonts w:ascii="Times New Roman" w:hAnsi="Times New Roman" w:cs="Times New Roman"/>
                <w:sz w:val="24"/>
                <w:szCs w:val="24"/>
              </w:rPr>
              <w:t xml:space="preserve"> В'ячеслава (біля вул. </w:t>
            </w:r>
            <w:r>
              <w:rPr>
                <w:rFonts w:ascii="Times New Roman" w:hAnsi="Times New Roman" w:cs="Times New Roman"/>
                <w:sz w:val="24"/>
                <w:szCs w:val="24"/>
              </w:rPr>
              <w:t xml:space="preserve">Засумська</w:t>
            </w:r>
            <w:r>
              <w:rPr>
                <w:rFonts w:ascii="Times New Roman" w:hAnsi="Times New Roman" w:cs="Times New Roman"/>
                <w:sz w:val="24"/>
                <w:szCs w:val="24"/>
              </w:rPr>
              <w:t xml:space="preserve">, 99)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Харківська, 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Героїв Сумщини, 10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Героїв Сумщини, 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Героїв Крут, 20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Героїв Крут 1/3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w:t>
            </w:r>
            <w:r>
              <w:rPr>
                <w:rFonts w:ascii="Times New Roman" w:hAnsi="Times New Roman" w:cs="Times New Roman"/>
                <w:sz w:val="24"/>
                <w:szCs w:val="24"/>
              </w:rPr>
              <w:t xml:space="preserve">Кондратьєва</w:t>
            </w:r>
            <w:r>
              <w:rPr>
                <w:rFonts w:ascii="Times New Roman" w:hAnsi="Times New Roman" w:cs="Times New Roman"/>
                <w:sz w:val="24"/>
                <w:szCs w:val="24"/>
              </w:rPr>
              <w:t xml:space="preserve"> 129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244+199 </w:t>
            </w:r>
            <w:r>
              <w:rPr>
                <w:rFonts w:ascii="Times New Roman" w:hAnsi="Times New Roman" w:cs="Times New Roman"/>
                <w:sz w:val="24"/>
                <w:szCs w:val="24"/>
              </w:rPr>
              <w:br/>
              <w:t xml:space="preserve">(Яремче, вул. Свободи, 187)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240+283 (Яремче, вул. Свободи, 333)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227+233 </w:t>
            </w:r>
            <w:r>
              <w:rPr>
                <w:rFonts w:ascii="Times New Roman" w:hAnsi="Times New Roman" w:cs="Times New Roman"/>
                <w:sz w:val="24"/>
                <w:szCs w:val="24"/>
              </w:rPr>
              <w:br/>
              <w:t xml:space="preserve">(</w:t>
            </w:r>
            <w:r>
              <w:rPr>
                <w:rFonts w:ascii="Times New Roman" w:hAnsi="Times New Roman" w:cs="Times New Roman"/>
                <w:sz w:val="24"/>
                <w:szCs w:val="24"/>
              </w:rPr>
              <w:t xml:space="preserve">Микуличин</w:t>
            </w:r>
            <w:r>
              <w:rPr>
                <w:rFonts w:ascii="Times New Roman" w:hAnsi="Times New Roman" w:cs="Times New Roman"/>
                <w:sz w:val="24"/>
                <w:szCs w:val="24"/>
              </w:rPr>
              <w:t xml:space="preserve">, вул. Грушевського, 172Б)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Житомир, Чуднівський міст (у напрямку вул. Качинського)</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Житомир, Чуднівський міст (у напрямку вул. Радивилівська)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Житомир, вул. Перемоги 86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Чернігів, </w:t>
            </w:r>
            <w:r>
              <w:rPr>
                <w:rFonts w:ascii="Times New Roman" w:hAnsi="Times New Roman" w:cs="Times New Roman"/>
                <w:sz w:val="24"/>
                <w:szCs w:val="24"/>
              </w:rPr>
              <w:t xml:space="preserve">просп</w:t>
            </w:r>
            <w:r>
              <w:rPr>
                <w:rFonts w:ascii="Times New Roman" w:hAnsi="Times New Roman" w:cs="Times New Roman"/>
                <w:sz w:val="24"/>
                <w:szCs w:val="24"/>
              </w:rPr>
              <w:t xml:space="preserve">. Левка Лук’яненка 12, к2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Чернігів, пр-т Миру 296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Чернігів, пр-т Миру 241А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Героїв України, 20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Кривий Ріг, вул. Вільної Ічкерії, 11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Кривий Ріг, вул. Вільної Ічкерії, 13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Центральний, 160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w:t>
            </w:r>
            <w:r>
              <w:rPr>
                <w:rFonts w:ascii="Times New Roman" w:hAnsi="Times New Roman" w:cs="Times New Roman"/>
                <w:sz w:val="24"/>
                <w:szCs w:val="24"/>
              </w:rPr>
              <w:t xml:space="preserve">Богоявленский</w:t>
            </w:r>
            <w:r>
              <w:rPr>
                <w:rFonts w:ascii="Times New Roman" w:hAnsi="Times New Roman" w:cs="Times New Roman"/>
                <w:sz w:val="24"/>
                <w:szCs w:val="24"/>
              </w:rPr>
              <w:t xml:space="preserve">, 125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Героїв України, 9т</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w:t>
            </w:r>
            <w:r>
              <w:rPr>
                <w:rFonts w:ascii="Times New Roman" w:hAnsi="Times New Roman" w:cs="Times New Roman"/>
                <w:sz w:val="24"/>
                <w:szCs w:val="24"/>
              </w:rPr>
              <w:t xml:space="preserve">Богоявленский</w:t>
            </w:r>
            <w:r>
              <w:rPr>
                <w:rFonts w:ascii="Times New Roman" w:hAnsi="Times New Roman" w:cs="Times New Roman"/>
                <w:sz w:val="24"/>
                <w:szCs w:val="24"/>
              </w:rPr>
              <w:t xml:space="preserve">, 140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Центральний, 93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Центральний, 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вул. Велика Морська, 13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Богоявленський, 42А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Богоявленський, 55/2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Героїв України, 55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95+424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98+824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M23 Берегове-Виноградів-Велика </w:t>
            </w:r>
            <w:r>
              <w:rPr>
                <w:rFonts w:ascii="Times New Roman" w:hAnsi="Times New Roman" w:cs="Times New Roman"/>
                <w:sz w:val="24"/>
                <w:szCs w:val="24"/>
              </w:rPr>
              <w:t xml:space="preserve">Копаня</w:t>
            </w:r>
            <w:r>
              <w:rPr>
                <w:rFonts w:ascii="Times New Roman" w:hAnsi="Times New Roman" w:cs="Times New Roman"/>
                <w:sz w:val="24"/>
                <w:szCs w:val="24"/>
              </w:rPr>
              <w:t xml:space="preserve"> 33+714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M23 Берегове-Виноградів-Велика </w:t>
            </w:r>
            <w:r>
              <w:rPr>
                <w:rFonts w:ascii="Times New Roman" w:hAnsi="Times New Roman" w:cs="Times New Roman"/>
                <w:sz w:val="24"/>
                <w:szCs w:val="24"/>
              </w:rPr>
              <w:t xml:space="preserve">Копаня</w:t>
            </w:r>
            <w:r>
              <w:rPr>
                <w:rFonts w:ascii="Times New Roman" w:hAnsi="Times New Roman" w:cs="Times New Roman"/>
                <w:sz w:val="24"/>
                <w:szCs w:val="24"/>
              </w:rPr>
              <w:t xml:space="preserve"> 39+706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Мукачево, вул. Івана Франка, 74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Мукачево, вул. </w:t>
            </w:r>
            <w:r>
              <w:rPr>
                <w:rFonts w:ascii="Times New Roman" w:hAnsi="Times New Roman" w:cs="Times New Roman"/>
                <w:sz w:val="24"/>
                <w:szCs w:val="24"/>
              </w:rPr>
              <w:t xml:space="preserve">Великогірна</w:t>
            </w:r>
            <w:r>
              <w:rPr>
                <w:rFonts w:ascii="Times New Roman" w:hAnsi="Times New Roman" w:cs="Times New Roman"/>
                <w:sz w:val="24"/>
                <w:szCs w:val="24"/>
              </w:rPr>
              <w:t xml:space="preserve">, 51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Т-07-19 Іршава – Виноградів 0+694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вул. Вадима Пугачова, 6Д</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w:t>
            </w:r>
            <w:r>
              <w:rPr>
                <w:rFonts w:ascii="Times New Roman" w:hAnsi="Times New Roman" w:cs="Times New Roman"/>
                <w:sz w:val="24"/>
                <w:szCs w:val="24"/>
              </w:rPr>
              <w:t xml:space="preserve">просп</w:t>
            </w:r>
            <w:r>
              <w:rPr>
                <w:rFonts w:ascii="Times New Roman" w:hAnsi="Times New Roman" w:cs="Times New Roman"/>
                <w:sz w:val="24"/>
                <w:szCs w:val="24"/>
              </w:rPr>
              <w:t xml:space="preserve">. Полтавський, 265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вул. Пирогова, 61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Харківська 111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w:t>
            </w:r>
            <w:r>
              <w:rPr>
                <w:rFonts w:ascii="Times New Roman" w:hAnsi="Times New Roman" w:cs="Times New Roman"/>
                <w:sz w:val="24"/>
                <w:szCs w:val="24"/>
              </w:rPr>
              <w:t xml:space="preserve">Бердичів,вул</w:t>
            </w:r>
            <w:r>
              <w:rPr>
                <w:rFonts w:ascii="Times New Roman" w:hAnsi="Times New Roman" w:cs="Times New Roman"/>
                <w:sz w:val="24"/>
                <w:szCs w:val="24"/>
              </w:rPr>
              <w:t xml:space="preserve">. Одеська, 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M-30 Стрий - Умань - Дніпро - Ізварине 490+890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M-30 Стрий - Умань - Дніпро - Ізварине 491+090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М-21 </w:t>
            </w:r>
            <w:r>
              <w:rPr>
                <w:rFonts w:ascii="Times New Roman" w:hAnsi="Times New Roman" w:cs="Times New Roman"/>
                <w:sz w:val="24"/>
                <w:szCs w:val="24"/>
              </w:rPr>
              <w:t xml:space="preserve">Виступовичі</w:t>
            </w:r>
            <w:r>
              <w:rPr>
                <w:rFonts w:ascii="Times New Roman" w:hAnsi="Times New Roman" w:cs="Times New Roman"/>
                <w:sz w:val="24"/>
                <w:szCs w:val="24"/>
              </w:rPr>
              <w:t xml:space="preserve">-Житомир-Могилів-Подільській 294+619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М-21 </w:t>
            </w:r>
            <w:r>
              <w:rPr>
                <w:rFonts w:ascii="Times New Roman" w:hAnsi="Times New Roman" w:cs="Times New Roman"/>
                <w:sz w:val="24"/>
                <w:szCs w:val="24"/>
              </w:rPr>
              <w:t xml:space="preserve">Виступовичі</w:t>
            </w:r>
            <w:r>
              <w:rPr>
                <w:rFonts w:ascii="Times New Roman" w:hAnsi="Times New Roman" w:cs="Times New Roman"/>
                <w:sz w:val="24"/>
                <w:szCs w:val="24"/>
              </w:rPr>
              <w:t xml:space="preserve">-Житомир-Могилів-Подільській 294+567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М-21 </w:t>
            </w:r>
            <w:r>
              <w:rPr>
                <w:rFonts w:ascii="Times New Roman" w:hAnsi="Times New Roman" w:cs="Times New Roman"/>
                <w:sz w:val="24"/>
                <w:szCs w:val="24"/>
              </w:rPr>
              <w:t xml:space="preserve">Виступовичі</w:t>
            </w:r>
            <w:r>
              <w:rPr>
                <w:rFonts w:ascii="Times New Roman" w:hAnsi="Times New Roman" w:cs="Times New Roman"/>
                <w:sz w:val="24"/>
                <w:szCs w:val="24"/>
              </w:rPr>
              <w:t xml:space="preserve">-Житомир-Могилів-Подільській 190+141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Полтава, вул. Європейська 108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Бориспіль, вул. Броварська 1а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Бориспіль, вул. Київський шлях, 2б</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вул. Івана Мазепи, 55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Івана Мазепи, 58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w:t>
            </w:r>
            <w:r>
              <w:rPr>
                <w:rFonts w:ascii="Times New Roman" w:hAnsi="Times New Roman" w:cs="Times New Roman"/>
                <w:sz w:val="24"/>
                <w:szCs w:val="24"/>
              </w:rPr>
              <w:t xml:space="preserve">Жабинського</w:t>
            </w:r>
            <w:r>
              <w:rPr>
                <w:rFonts w:ascii="Times New Roman" w:hAnsi="Times New Roman" w:cs="Times New Roman"/>
                <w:sz w:val="24"/>
                <w:szCs w:val="24"/>
              </w:rPr>
              <w:t xml:space="preserve"> 2б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Козацька 22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w:t>
            </w:r>
            <w:r>
              <w:rPr>
                <w:rFonts w:ascii="Times New Roman" w:hAnsi="Times New Roman" w:cs="Times New Roman"/>
                <w:sz w:val="24"/>
                <w:szCs w:val="24"/>
              </w:rPr>
              <w:t xml:space="preserve">пр</w:t>
            </w:r>
            <w:r>
              <w:rPr>
                <w:rFonts w:ascii="Times New Roman" w:hAnsi="Times New Roman" w:cs="Times New Roman"/>
                <w:sz w:val="24"/>
                <w:szCs w:val="24"/>
              </w:rPr>
              <w:t xml:space="preserve"> Миру 192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bl>
    <w:p>
      <w:pPr>
        <w:spacing w:after="0" w:line="240" w:lineRule="auto"/>
        <w:rPr>
          <w:rFonts w:ascii="Times New Roman" w:hAnsi="Times New Roman" w:eastAsia="Times New Roman" w:cs="Times New Roman"/>
          <w:b/>
          <w:sz w:val="24"/>
          <w:szCs w:val="24"/>
          <w:lang w:eastAsia="uk-UA"/>
        </w:rPr>
      </w:pPr>
      <w:r/>
      <w:bookmarkStart w:id="2" w:name="_8lhjtjsyighw"/>
      <w:r/>
      <w:bookmarkEnd w:id="2"/>
      <w:r/>
      <w:r/>
    </w:p>
    <w:p>
      <w:pPr>
        <w:ind w:left="360"/>
        <w:spacing w:after="0" w:line="240" w:lineRule="auto"/>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3. Перелік послуг технічного обслуговування та періодичність їх виконання:</w:t>
      </w:r>
      <w:r/>
    </w:p>
    <w:tbl>
      <w:tblPr>
        <w:tblW w:w="991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7368"/>
        <w:gridCol w:w="2550"/>
      </w:tblGrid>
      <w:tr>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center"/>
              <w:spacing w:after="0" w:line="240" w:lineRule="auto"/>
              <w:rPr>
                <w:rFonts w:ascii="Times New Roman" w:hAnsi="Times New Roman" w:eastAsia="Times New Roman" w:cs="Times New Roman"/>
                <w:b/>
                <w:sz w:val="24"/>
                <w:szCs w:val="24"/>
                <w:lang w:eastAsia="uk-UA"/>
              </w:rPr>
            </w:pPr>
            <w:r/>
            <w:bookmarkStart w:id="3" w:name="_hwckevvgb07n"/>
            <w:r/>
            <w:bookmarkEnd w:id="3"/>
            <w:r>
              <w:rPr>
                <w:rFonts w:ascii="Times New Roman" w:hAnsi="Times New Roman" w:eastAsia="Times New Roman" w:cs="Times New Roman"/>
                <w:b/>
                <w:sz w:val="24"/>
                <w:szCs w:val="24"/>
                <w:lang w:eastAsia="uk-UA"/>
              </w:rPr>
              <w:t xml:space="preserve">Вид технічного обслуговування та перелік операцій, що виконуються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Періодичність проведення</w:t>
            </w:r>
            <w:r/>
          </w:p>
        </w:tc>
      </w:tr>
      <w:tr>
        <w:trPr>
          <w:trHeight w:val="553"/>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ind w:left="176" w:firstLine="709"/>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b/>
                <w:sz w:val="24"/>
                <w:szCs w:val="24"/>
                <w:lang w:eastAsia="uk-UA"/>
              </w:rPr>
              <w:t xml:space="preserve">Цілодобовий моніторинг роботи усіх систем комплексу </w:t>
            </w:r>
            <w:r>
              <w:rPr>
                <w:rFonts w:ascii="Times New Roman" w:hAnsi="Times New Roman" w:eastAsia="Times New Roman" w:cs="Times New Roman"/>
                <w:b/>
                <w:bCs/>
                <w:sz w:val="24"/>
                <w:szCs w:val="24"/>
                <w:lang w:eastAsia="uk-UA"/>
              </w:rPr>
              <w:t xml:space="preserve">«КАСКАД».</w:t>
            </w:r>
            <w:r/>
          </w:p>
        </w:tc>
      </w:tr>
      <w:tr>
        <w:trPr>
          <w:trHeight w:val="100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bCs/>
                <w:sz w:val="24"/>
                <w:szCs w:val="24"/>
                <w:lang w:eastAsia="uk-UA"/>
              </w:rPr>
              <w:t xml:space="preserve">Ц</w:t>
            </w:r>
            <w:r>
              <w:rPr>
                <w:rFonts w:ascii="Times New Roman" w:hAnsi="Times New Roman" w:eastAsia="Times New Roman" w:cs="Times New Roman"/>
                <w:sz w:val="24"/>
                <w:szCs w:val="24"/>
                <w:lang w:eastAsia="uk-UA"/>
              </w:rPr>
              <w:t xml:space="preserve">ілодобовий моніторинг роботи  усіх систем комплексу </w:t>
            </w:r>
            <w:r>
              <w:rPr>
                <w:rFonts w:ascii="Times New Roman" w:hAnsi="Times New Roman" w:eastAsia="Times New Roman" w:cs="Times New Roman"/>
                <w:bCs/>
                <w:sz w:val="24"/>
                <w:szCs w:val="24"/>
                <w:lang w:eastAsia="uk-UA"/>
              </w:rPr>
              <w:t xml:space="preserve">«КАСКАД»</w:t>
            </w:r>
            <w:r>
              <w:rPr>
                <w:rFonts w:ascii="Times New Roman" w:hAnsi="Times New Roman" w:eastAsia="Times New Roman" w:cs="Times New Roman"/>
                <w:sz w:val="24"/>
                <w:szCs w:val="24"/>
                <w:lang w:eastAsia="uk-UA"/>
              </w:rPr>
              <w:t xml:space="preserve"> (далі — цілодобовий моніторинг) проводиться в усіх режимах роботи. Він включає перевіряння показників функціонування систем комплексу у штатному режимі:</w:t>
            </w:r>
            <w:r/>
          </w:p>
          <w:p>
            <w:pPr>
              <w:numPr>
                <w:ilvl w:val="0"/>
                <w:numId w:val="33"/>
              </w:numPr>
              <w:contextualSpacing/>
              <w:ind w:left="176"/>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системи мережевого електроживлення;</w:t>
            </w:r>
            <w:r/>
          </w:p>
          <w:p>
            <w:pPr>
              <w:numPr>
                <w:ilvl w:val="0"/>
                <w:numId w:val="33"/>
              </w:numPr>
              <w:contextualSpacing/>
              <w:ind w:left="176"/>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системи обігріву АКБ;</w:t>
            </w:r>
            <w:r/>
          </w:p>
          <w:p>
            <w:pPr>
              <w:numPr>
                <w:ilvl w:val="0"/>
                <w:numId w:val="33"/>
              </w:numPr>
              <w:contextualSpacing/>
              <w:ind w:left="176"/>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системи резервного електроживлення від АКБ;</w:t>
            </w:r>
            <w:r/>
          </w:p>
          <w:p>
            <w:pPr>
              <w:numPr>
                <w:ilvl w:val="0"/>
                <w:numId w:val="33"/>
              </w:numPr>
              <w:contextualSpacing/>
              <w:ind w:left="176"/>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реєстраційного блоку;</w:t>
            </w:r>
            <w:r/>
          </w:p>
          <w:p>
            <w:pPr>
              <w:numPr>
                <w:ilvl w:val="0"/>
                <w:numId w:val="33"/>
              </w:numPr>
              <w:contextualSpacing/>
              <w:ind w:left="176"/>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каналів зв’язку між комплексом та центром обробки даних.</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Цілодобово</w:t>
            </w:r>
            <w:r/>
          </w:p>
        </w:tc>
      </w:tr>
      <w:tr>
        <w:trPr>
          <w:trHeight w:val="583"/>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eastAsia="Times New Roman" w:cs="Times New Roman"/>
                <w:bCs/>
                <w:sz w:val="24"/>
                <w:szCs w:val="24"/>
                <w:lang w:eastAsia="uk-UA"/>
              </w:rPr>
            </w:pPr>
            <w:r>
              <w:rPr>
                <w:rFonts w:ascii="Times New Roman" w:hAnsi="Times New Roman" w:eastAsia="Times New Roman" w:cs="Times New Roman"/>
                <w:bCs/>
                <w:sz w:val="24"/>
                <w:szCs w:val="24"/>
                <w:lang w:eastAsia="uk-UA"/>
              </w:rPr>
              <w:t xml:space="preserve">Відстеження і усунення помилок і збоїв у роботі системи </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Щозмінне </w:t>
            </w:r>
            <w:r/>
          </w:p>
        </w:tc>
      </w:tr>
      <w:tr>
        <w:trPr>
          <w:trHeight w:val="45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jc w:val="center"/>
              <w:spacing w:after="0" w:line="240" w:lineRule="auto"/>
              <w:shd w:val="clear" w:color="auto" w:fill="ffffff"/>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Технічний ( контрольний) огляд та обстеження </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 Візуальний контроль наявності та цілісності зовнішніх антенних пристроїв, пломб</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2. Візуальний контроль цілісності сигнальних кабелів, кабелів електроживлення та заземлення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507"/>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jc w:val="center"/>
              <w:spacing w:after="0" w:line="240" w:lineRule="auto"/>
              <w:shd w:val="clear" w:color="auto" w:fill="ffffff"/>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Технічне обслуговування </w:t>
            </w:r>
            <w:r/>
          </w:p>
        </w:tc>
      </w:tr>
      <w:tr>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 Детальний огляду та чистки блоків всієї апаратури без розтину блоків, захисних боксів, конструкцій, кріплень, перемикачів, роз'ємів і </w:t>
            </w:r>
            <w:r>
              <w:rPr>
                <w:rFonts w:ascii="Times New Roman" w:hAnsi="Times New Roman" w:eastAsia="Calibri" w:cs="Times New Roman"/>
                <w:sz w:val="24"/>
                <w:szCs w:val="24"/>
                <w:lang w:eastAsia="ru-RU"/>
              </w:rPr>
              <w:t xml:space="preserve">т.п</w:t>
            </w:r>
            <w:r>
              <w:rPr>
                <w:rFonts w:ascii="Times New Roman" w:hAnsi="Times New Roman" w:eastAsia="Calibri" w:cs="Times New Roman"/>
                <w:sz w:val="24"/>
                <w:szCs w:val="24"/>
                <w:lang w:eastAsia="ru-RU"/>
              </w:rPr>
              <w:t xml:space="preserve">. видалення пилу та забруднення внаслідок природних факторів та зносу</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929"/>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55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3. Перевірка та регулювання електротехнічних компонент (батарейні комплекти, блоки живлення, плати, електричні з'єднання) та їх заміни при необхідності (за умови надання Замовником)</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53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4. Перевірка справності, надійності та відповідності заземлення та елементів грозозахисту до вимог технічної документації з вимірюванням</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34"/>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5. Контрольний заряд-розряд батарейних комплектів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6. Перевірка стану джерел живлення електроенергією,   дистанційного управління та сигналізації</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7. Чистка  оптичних елементів та інфрачервоних прожекторів комплексу</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8. Перевірка та при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методики. </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b/>
                <w:sz w:val="24"/>
                <w:szCs w:val="24"/>
                <w:lang w:eastAsia="ru-RU"/>
              </w:rPr>
            </w:pPr>
            <w:r>
              <w:rPr>
                <w:rFonts w:ascii="Times New Roman" w:hAnsi="Times New Roman" w:eastAsia="Calibri" w:cs="Times New Roman"/>
                <w:sz w:val="24"/>
                <w:szCs w:val="24"/>
                <w:lang w:eastAsia="ru-RU"/>
              </w:rPr>
              <w:t xml:space="preserve">9. Заміни елементів та вузлів комплексу, </w:t>
            </w:r>
            <w:r>
              <w:rPr>
                <w:rFonts w:ascii="Times New Roman" w:hAnsi="Times New Roman" w:eastAsia="Calibri" w:cs="Times New Roman"/>
                <w:sz w:val="24"/>
                <w:szCs w:val="24"/>
                <w:lang w:eastAsia="ru-RU"/>
              </w:rPr>
              <w:t xml:space="preserve">гермопрокладок</w:t>
            </w:r>
            <w:r>
              <w:rPr>
                <w:rFonts w:ascii="Times New Roman" w:hAnsi="Times New Roman" w:eastAsia="Calibri" w:cs="Times New Roman"/>
                <w:sz w:val="24"/>
                <w:szCs w:val="24"/>
                <w:lang w:eastAsia="ru-RU"/>
              </w:rPr>
              <w:t xml:space="preserve"> та інших матеріалів, що мають обмежений термін служби (зберігання)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bookmarkStart w:id="4" w:name="__DdeLink__3409_1807735482"/>
            <w:r>
              <w:rPr>
                <w:rFonts w:ascii="Times New Roman" w:hAnsi="Times New Roman" w:eastAsia="Times New Roman" w:cs="Times New Roman"/>
                <w:sz w:val="24"/>
                <w:szCs w:val="24"/>
                <w:lang w:eastAsia="uk-UA"/>
              </w:rPr>
              <w:t xml:space="preserve">При потребі</w:t>
            </w:r>
            <w:bookmarkEnd w:id="4"/>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10. Заключне вимірювання параметрів і характеристик апаратури і доведення їх, при необхідності, до встановлених норм</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7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11. Аналіз відповідності поточного навантаження апаратному забезпеченню, що використовується, тестування продуктивності окремих операцій</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12. Встановлення критичних оновлень* та/або профілактика системного програмного забезпечення, перевірка реєстрів, журналів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77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13. Тестування відновлення працездатності під час збоїв окремих компонентів ПЗ без втрати даних</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highlight w:val="green"/>
                <w:lang w:eastAsia="uk-UA"/>
              </w:rPr>
            </w:pPr>
            <w:r>
              <w:rPr>
                <w:rFonts w:ascii="Times New Roman" w:hAnsi="Times New Roman" w:eastAsia="Times New Roman" w:cs="Times New Roman"/>
                <w:sz w:val="24"/>
                <w:szCs w:val="24"/>
                <w:lang w:eastAsia="uk-UA"/>
              </w:rPr>
              <w:t xml:space="preserve">При потребі</w:t>
            </w:r>
            <w:r/>
          </w:p>
        </w:tc>
      </w:tr>
      <w:tr>
        <w:trPr>
          <w:trHeight w:val="35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both"/>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14. Періодичне оновлення програмного забезпечення*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both"/>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15. Ведення експлуатаційної документації</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39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cs="Times New Roman"/>
                <w:b/>
                <w:sz w:val="24"/>
                <w:szCs w:val="24"/>
              </w:rPr>
              <w:t xml:space="preserve">Сезонне</w:t>
            </w:r>
            <w:r>
              <w:rPr>
                <w:rFonts w:ascii="Times New Roman" w:hAnsi="Times New Roman" w:cs="Times New Roman"/>
                <w:b/>
                <w:spacing w:val="49"/>
                <w:sz w:val="24"/>
                <w:szCs w:val="24"/>
              </w:rPr>
              <w:t xml:space="preserve"> </w:t>
            </w:r>
            <w:r>
              <w:rPr>
                <w:rFonts w:ascii="Times New Roman" w:hAnsi="Times New Roman" w:cs="Times New Roman"/>
                <w:b/>
                <w:sz w:val="24"/>
                <w:szCs w:val="24"/>
              </w:rPr>
              <w:t xml:space="preserve">обслуговування</w:t>
            </w:r>
            <w:r>
              <w:rPr>
                <w:rFonts w:ascii="Times New Roman" w:hAnsi="Times New Roman" w:cs="Times New Roman"/>
                <w:b/>
                <w:spacing w:val="45"/>
                <w:sz w:val="24"/>
                <w:szCs w:val="24"/>
              </w:rPr>
              <w:t xml:space="preserve"> </w:t>
            </w:r>
            <w:r>
              <w:rPr>
                <w:rFonts w:ascii="Times New Roman" w:hAnsi="Times New Roman" w:cs="Times New Roman"/>
                <w:sz w:val="24"/>
                <w:szCs w:val="24"/>
              </w:rPr>
              <w:t xml:space="preserve">(СО)</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jc w:val="both"/>
              <w:spacing w:after="0" w:line="240" w:lineRule="auto"/>
              <w:shd w:val="clear" w:color="auto" w:fill="ffffff"/>
              <w:tabs>
                <w:tab w:val="left" w:pos="459" w:leader="none"/>
              </w:tabs>
              <w:rPr>
                <w:rFonts w:ascii="Times New Roman" w:hAnsi="Times New Roman" w:cs="Times New Roman"/>
                <w:b/>
                <w:sz w:val="24"/>
                <w:szCs w:val="24"/>
              </w:rPr>
            </w:pPr>
            <w:r>
              <w:rPr>
                <w:rFonts w:ascii="Times New Roman" w:hAnsi="Times New Roman" w:cs="Times New Roman"/>
                <w:sz w:val="24"/>
                <w:szCs w:val="24"/>
                <w:lang w:val="ru-RU"/>
              </w:rPr>
              <w:t xml:space="preserve">1.</w:t>
            </w:r>
            <w:r>
              <w:rPr>
                <w:rFonts w:ascii="Times New Roman" w:hAnsi="Times New Roman" w:cs="Times New Roman"/>
                <w:sz w:val="24"/>
                <w:szCs w:val="24"/>
              </w:rPr>
              <w:t xml:space="preserve">Робіт в обсязі ТО № 1 ;</w:t>
            </w:r>
            <w:r/>
          </w:p>
        </w:tc>
        <w:tc>
          <w:tcPr>
            <w:shd w:val="clear" w:color="auto" w:fill="auto"/>
            <w:tcBorders>
              <w:top w:val="single" w:color="00000A" w:sz="4" w:space="0"/>
              <w:left w:val="single" w:color="00000A" w:sz="4" w:space="0"/>
              <w:right w:val="single" w:color="00000A" w:sz="4" w:space="0"/>
            </w:tcBorders>
            <w:tcW w:w="2550" w:type="dxa"/>
            <w:vMerge w:val="restart"/>
            <w:textDirection w:val="lrTb"/>
            <w:noWrap w:val="false"/>
          </w:tcPr>
          <w:p>
            <w:pPr>
              <w:pStyle w:val="782"/>
              <w:ind w:left="309"/>
              <w:rPr>
                <w:sz w:val="24"/>
                <w:szCs w:val="24"/>
              </w:rPr>
            </w:pPr>
            <w:r>
              <w:rPr>
                <w:sz w:val="24"/>
                <w:szCs w:val="24"/>
                <w:lang w:val="ru-RU"/>
              </w:rPr>
              <w:t xml:space="preserve">д</w:t>
            </w:r>
            <w:r>
              <w:rPr>
                <w:sz w:val="24"/>
                <w:szCs w:val="24"/>
              </w:rPr>
              <w:t xml:space="preserve">вічі</w:t>
            </w:r>
            <w:r>
              <w:rPr>
                <w:sz w:val="24"/>
                <w:szCs w:val="24"/>
                <w:lang w:val="ru-RU"/>
              </w:rPr>
              <w:t xml:space="preserve"> </w:t>
            </w:r>
            <w:r>
              <w:rPr>
                <w:sz w:val="24"/>
                <w:szCs w:val="24"/>
              </w:rPr>
              <w:t xml:space="preserve">на</w:t>
            </w:r>
            <w:r>
              <w:rPr>
                <w:sz w:val="24"/>
                <w:szCs w:val="24"/>
                <w:lang w:val="ru-RU"/>
              </w:rPr>
              <w:t xml:space="preserve"> </w:t>
            </w:r>
            <w:r>
              <w:rPr>
                <w:sz w:val="24"/>
                <w:szCs w:val="24"/>
              </w:rPr>
              <w:t xml:space="preserve">рік</w:t>
            </w:r>
            <w:r>
              <w:rPr>
                <w:sz w:val="24"/>
                <w:szCs w:val="24"/>
                <w:lang w:val="ru-RU"/>
              </w:rPr>
              <w:t xml:space="preserve"> </w:t>
            </w:r>
            <w:r>
              <w:rPr>
                <w:sz w:val="24"/>
                <w:szCs w:val="24"/>
              </w:rPr>
              <w:t xml:space="preserve">у</w:t>
            </w:r>
            <w:r/>
          </w:p>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жовтні-листопаді та квітні-травні</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2. Заміни елементів та вузлів комплексу, гермо прокладок та інших матеріалів, що мають обмежений термін служби (зберігання)</w:t>
            </w:r>
            <w:r/>
          </w:p>
        </w:tc>
        <w:tc>
          <w:tcPr>
            <w:shd w:val="clear" w:color="auto" w:fill="auto"/>
            <w:tcBorders>
              <w:left w:val="single" w:color="00000A" w:sz="4" w:space="0"/>
              <w:bottom w:val="single" w:color="00000A" w:sz="4" w:space="0"/>
              <w:right w:val="single" w:color="00000A" w:sz="4" w:space="0"/>
            </w:tcBorders>
            <w:tcW w:w="2550" w:type="dxa"/>
            <w:vMerge w:val="continue"/>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textDirection w:val="lrTb"/>
            <w:noWrap w:val="false"/>
          </w:tcPr>
          <w:p>
            <w:pPr>
              <w:ind w:left="309"/>
              <w:jc w:val="cente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Технічна підтримка</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b/>
                <w:sz w:val="24"/>
                <w:szCs w:val="24"/>
              </w:rPr>
            </w:pPr>
            <w:r>
              <w:rPr>
                <w:rFonts w:ascii="Times New Roman" w:hAnsi="Times New Roman" w:cs="Times New Roman"/>
                <w:sz w:val="24"/>
                <w:szCs w:val="24"/>
              </w:rPr>
              <w:t xml:space="preserve">Забезпечення виокремленим менеджером з обробки заявок і звернень.</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 період виконання договору </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Віддалене усунення аварій та збоїв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потребі</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Аварійний виїзд ремонтної бригади для усунення аварій та збоїв (у разі відсутності </w:t>
            </w:r>
            <w:r>
              <w:rPr>
                <w:rFonts w:ascii="Times New Roman" w:hAnsi="Times New Roman" w:cs="Times New Roman"/>
                <w:sz w:val="24"/>
                <w:szCs w:val="24"/>
              </w:rPr>
              <w:t xml:space="preserve">тех</w:t>
            </w:r>
            <w:r>
              <w:rPr>
                <w:rFonts w:ascii="Times New Roman" w:hAnsi="Times New Roman" w:cs="Times New Roman"/>
                <w:sz w:val="24"/>
                <w:szCs w:val="24"/>
              </w:rPr>
              <w:t xml:space="preserve">. можливості віддаленого усунення аварій та збоїв)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потребі</w:t>
            </w:r>
            <w:r/>
          </w:p>
        </w:tc>
      </w:tr>
    </w:tbl>
    <w:p>
      <w:pPr>
        <w:jc w:val="both"/>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 xml:space="preserve">Примітка: “*” - </w:t>
      </w:r>
      <w:r>
        <w:rPr>
          <w:rFonts w:ascii="Times New Roman" w:hAnsi="Times New Roman" w:eastAsia="Times New Roman" w:cs="Times New Roman"/>
          <w:bCs/>
          <w:sz w:val="24"/>
          <w:szCs w:val="24"/>
          <w:lang w:eastAsia="uk-UA"/>
        </w:rPr>
        <w:t xml:space="preserve">оновлення програмного забезпечення передбачене цими Технічними вимогами передбачається при наявності такого оновлення в межах існуючого функціоналу, розширення або заміна функціоналу не передбачається</w:t>
      </w:r>
      <w:r/>
    </w:p>
    <w:p>
      <w:pPr>
        <w:ind w:left="360"/>
        <w:spacing w:after="0" w:line="240" w:lineRule="auto"/>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4. Вимоги до послуг із супроводження та технічного обслуговування</w:t>
      </w:r>
      <w:r>
        <w:rPr>
          <w:rFonts w:ascii="Times New Roman" w:hAnsi="Times New Roman" w:eastAsia="Times New Roman" w:cs="Times New Roman"/>
          <w:sz w:val="24"/>
          <w:szCs w:val="24"/>
          <w:lang w:eastAsia="uk-UA"/>
        </w:rPr>
        <w:t xml:space="preserve"> </w:t>
      </w:r>
      <w:r>
        <w:rPr>
          <w:rFonts w:ascii="Times New Roman" w:hAnsi="Times New Roman" w:eastAsia="Times New Roman" w:cs="Times New Roman"/>
          <w:b/>
          <w:sz w:val="24"/>
          <w:szCs w:val="24"/>
          <w:lang w:eastAsia="uk-UA"/>
        </w:rPr>
        <w:t xml:space="preserve">Комплексів автоматичної фото/</w:t>
      </w:r>
      <w:r>
        <w:rPr>
          <w:rFonts w:ascii="Times New Roman" w:hAnsi="Times New Roman" w:eastAsia="Times New Roman" w:cs="Times New Roman"/>
          <w:b/>
          <w:sz w:val="24"/>
          <w:szCs w:val="24"/>
          <w:lang w:eastAsia="uk-UA"/>
        </w:rPr>
        <w:t xml:space="preserve">відеофіксації</w:t>
      </w:r>
      <w:r>
        <w:rPr>
          <w:rFonts w:ascii="Times New Roman" w:hAnsi="Times New Roman" w:eastAsia="Times New Roman" w:cs="Times New Roman"/>
          <w:b/>
          <w:sz w:val="24"/>
          <w:szCs w:val="24"/>
          <w:lang w:eastAsia="uk-UA"/>
        </w:rPr>
        <w:t xml:space="preserve"> правопорушень у сфері безпеки дорожнього руху “КАСКАД”».</w:t>
      </w:r>
      <w:r/>
    </w:p>
    <w:p>
      <w:pPr>
        <w:numPr>
          <w:ilvl w:val="0"/>
          <w:numId w:val="35"/>
        </w:numPr>
        <w:contextualSpacing/>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shd w:val="clear" w:color="auto" w:fill="ffffff"/>
          <w:lang w:eastAsia="ru-RU"/>
        </w:rPr>
        <w:t xml:space="preserve">Технічне обслуговування Комплексів «КАСКАД» здійснюють уповноважені кваліфіковані фахівці з підтверджуючим посвідченням, та/або сертифікатом, та/або </w:t>
      </w:r>
      <w:r>
        <w:rPr>
          <w:rFonts w:ascii="Times New Roman" w:hAnsi="Times New Roman" w:eastAsia="Calibri" w:cs="Times New Roman"/>
          <w:sz w:val="24"/>
          <w:szCs w:val="24"/>
          <w:shd w:val="clear" w:color="auto" w:fill="ffffff"/>
          <w:lang w:eastAsia="ru-RU"/>
        </w:rPr>
        <w:t xml:space="preserve">дипломом, та/або договором, тощо, виданих виробником або офіційним представником виробника Комплексів «КАСКАД».</w:t>
      </w:r>
      <w:r/>
    </w:p>
    <w:p>
      <w:pPr>
        <w:numPr>
          <w:ilvl w:val="0"/>
          <w:numId w:val="35"/>
        </w:numPr>
        <w:contextualSpacing/>
        <w:jc w:val="both"/>
        <w:spacing w:after="0" w:line="240" w:lineRule="auto"/>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ru-RU"/>
        </w:rPr>
        <w:t xml:space="preserve">Під час </w:t>
      </w:r>
      <w:r>
        <w:rPr>
          <w:rFonts w:ascii="Times New Roman" w:hAnsi="Times New Roman" w:eastAsia="Calibri" w:cs="Times New Roman"/>
          <w:sz w:val="24"/>
          <w:szCs w:val="24"/>
          <w:shd w:val="clear" w:color="auto" w:fill="ffffff"/>
          <w:lang w:eastAsia="ru-RU"/>
        </w:rPr>
        <w:t xml:space="preserve">надання послуг з технічної екс</w:t>
      </w:r>
      <w:r>
        <w:rPr>
          <w:rFonts w:ascii="Times New Roman" w:hAnsi="Times New Roman" w:eastAsia="Calibri" w:cs="Times New Roman"/>
          <w:sz w:val="24"/>
          <w:szCs w:val="24"/>
          <w:shd w:val="clear" w:color="auto" w:fill="ffffff"/>
          <w:lang w:eastAsia="ru-RU"/>
        </w:rPr>
        <w:t xml:space="preserve">плуатації Виконавцем використовуються власні матеріали, інструмент, обладнання механізми, транспорт та засоби вимірювань потрібні для надання послуг та підтримання працездатності Комплексів «КАСКАД», відповідно до технічної та експлуатаційної документації.</w:t>
      </w:r>
      <w:r/>
    </w:p>
    <w:p>
      <w:pPr>
        <w:numPr>
          <w:ilvl w:val="0"/>
          <w:numId w:val="35"/>
        </w:numPr>
        <w:contextualSpacing/>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Calibri" w:cs="Times New Roman"/>
          <w:sz w:val="24"/>
          <w:szCs w:val="24"/>
          <w:shd w:val="clear" w:color="auto" w:fill="ffffff"/>
          <w:lang w:eastAsia="ru-RU"/>
        </w:rPr>
        <w:t xml:space="preserve"> Результати послуг заносяться в журнали технічного стану (формуляр). </w:t>
      </w:r>
      <w:r/>
    </w:p>
    <w:p>
      <w:pPr>
        <w:numPr>
          <w:ilvl w:val="0"/>
          <w:numId w:val="35"/>
        </w:numPr>
        <w:contextualSpacing/>
        <w:jc w:val="both"/>
        <w:spacing w:after="0" w:line="240" w:lineRule="auto"/>
        <w:shd w:val="clear" w:color="auto" w:fill="ffffff"/>
        <w:rPr>
          <w:rFonts w:ascii="Times New Roman" w:hAnsi="Times New Roman" w:eastAsia="Calibri" w:cs="Times New Roman"/>
          <w:sz w:val="24"/>
          <w:szCs w:val="24"/>
          <w:lang w:eastAsia="ru-RU"/>
        </w:rPr>
      </w:pPr>
      <w:r>
        <w:rPr>
          <w:rFonts w:ascii="Times New Roman" w:hAnsi="Times New Roman" w:eastAsia="Calibri" w:cs="Times New Roman"/>
          <w:sz w:val="24"/>
          <w:szCs w:val="24"/>
          <w:shd w:val="clear" w:color="auto" w:fill="ffffff"/>
          <w:lang w:eastAsia="ru-RU"/>
        </w:rPr>
        <w:t xml:space="preserve">По результатам виконаних послуг Виконавцем надається інформація стосовно кожного Комплексу «КАСКАД»:</w:t>
      </w:r>
      <w:r/>
    </w:p>
    <w:p>
      <w:pPr>
        <w:contextualSpacing/>
        <w:ind w:left="720"/>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Calibri" w:cs="Times New Roman"/>
          <w:sz w:val="24"/>
          <w:szCs w:val="24"/>
          <w:shd w:val="clear" w:color="auto" w:fill="ffffff"/>
          <w:lang w:eastAsia="ru-RU"/>
        </w:rPr>
        <w:t xml:space="preserve">- </w:t>
      </w:r>
      <w:r>
        <w:rPr>
          <w:rFonts w:ascii="Times New Roman" w:hAnsi="Times New Roman" w:eastAsia="Times New Roman" w:cs="Times New Roman"/>
          <w:sz w:val="24"/>
          <w:szCs w:val="24"/>
          <w:lang w:eastAsia="ru-RU"/>
        </w:rPr>
        <w:t xml:space="preserve">результати технічного обстеження;</w:t>
      </w:r>
      <w:r/>
    </w:p>
    <w:p>
      <w:pPr>
        <w:contextualSpacing/>
        <w:ind w:left="720"/>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оцінка технічного стану;</w:t>
      </w:r>
      <w:r/>
    </w:p>
    <w:p>
      <w:pPr>
        <w:contextualSpacing/>
        <w:ind w:left="720"/>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рекомендації щодо подальшої експлуатації, ремонту, реконструкції, відновлення, оновлення, заміни або виведення з експлуатації.</w:t>
      </w:r>
      <w:r/>
    </w:p>
    <w:p>
      <w:pPr>
        <w:numPr>
          <w:ilvl w:val="0"/>
          <w:numId w:val="35"/>
        </w:numPr>
        <w:contextualSpacing/>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shd w:val="clear" w:color="auto" w:fill="ffffff"/>
          <w:lang w:eastAsia="ru-RU"/>
        </w:rPr>
        <w:t xml:space="preserve"> Усі послуги з технічної експлуатації виконуються з дотриманням </w:t>
      </w:r>
      <w:hyperlink r:id="rId11" w:tooltip="https://zakon.rada.gov.ua/laws/show/z0093-98" w:history="1">
        <w:r>
          <w:rPr>
            <w:rFonts w:ascii="Times New Roman" w:hAnsi="Times New Roman" w:eastAsia="Calibri" w:cs="Times New Roman"/>
            <w:sz w:val="24"/>
            <w:szCs w:val="24"/>
            <w:shd w:val="clear" w:color="auto" w:fill="ffffff"/>
            <w:lang w:eastAsia="ru-RU"/>
          </w:rPr>
          <w:t xml:space="preserve">Правил безпечної експлуатації електроустановок споживачів</w:t>
        </w:r>
      </w:hyperlink>
      <w:r>
        <w:rPr>
          <w:rFonts w:ascii="Times New Roman" w:hAnsi="Times New Roman" w:eastAsia="Calibri" w:cs="Times New Roman"/>
          <w:sz w:val="24"/>
          <w:szCs w:val="24"/>
          <w:shd w:val="clear" w:color="auto" w:fill="ffffff"/>
          <w:lang w:eastAsia="ru-RU"/>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 93/2533, </w:t>
      </w:r>
      <w:hyperlink r:id="rId12" w:tooltip="https://zakon.rada.gov.ua/laws/show/z0252-15#_blank" w:anchor="_blank" w:history="1">
        <w:r>
          <w:rPr>
            <w:rFonts w:ascii="Times New Roman" w:hAnsi="Times New Roman" w:eastAsia="Calibri" w:cs="Times New Roman"/>
            <w:sz w:val="24"/>
            <w:szCs w:val="24"/>
            <w:lang w:eastAsia="ru-RU"/>
          </w:rPr>
          <w:t xml:space="preserve">Правил пожежної безпеки в Україні</w:t>
        </w:r>
      </w:hyperlink>
      <w:r>
        <w:rPr>
          <w:rFonts w:ascii="Times New Roman" w:hAnsi="Times New Roman" w:eastAsia="Calibri" w:cs="Times New Roman"/>
          <w:sz w:val="24"/>
          <w:szCs w:val="24"/>
          <w:shd w:val="clear" w:color="auto" w:fill="ffffff"/>
          <w:lang w:eastAsia="ru-RU"/>
        </w:rPr>
        <w:t xml:space="preserve">, затвердж</w:t>
      </w:r>
      <w:r>
        <w:rPr>
          <w:rFonts w:ascii="Times New Roman" w:hAnsi="Times New Roman" w:eastAsia="Calibri" w:cs="Times New Roman"/>
          <w:sz w:val="24"/>
          <w:szCs w:val="24"/>
          <w:shd w:val="clear" w:color="auto" w:fill="ffffff"/>
          <w:lang w:eastAsia="ru-RU"/>
        </w:rPr>
        <w:t xml:space="preserve">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«КАСКАД».</w:t>
      </w:r>
      <w:r/>
    </w:p>
    <w:p>
      <w:pPr>
        <w:numPr>
          <w:ilvl w:val="0"/>
          <w:numId w:val="35"/>
        </w:numPr>
        <w:contextualSpacing/>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shd w:val="clear" w:color="auto" w:fill="ffffff"/>
          <w:lang w:eastAsia="ru-RU"/>
        </w:rPr>
        <w:t xml:space="preserve">Послуги з технічного обслуговування Комплексів «КАСКАД» плануються так, щоб усі заходи проводилися без зупинки роботи за рахунок перемикання на резервні частини з можливою втратою стану користувальницьких і службових сесій.</w:t>
      </w:r>
      <w:r/>
    </w:p>
    <w:p>
      <w:pPr>
        <w:numPr>
          <w:ilvl w:val="0"/>
          <w:numId w:val="35"/>
        </w:numPr>
        <w:contextualSpacing/>
        <w:jc w:val="both"/>
        <w:spacing w:after="0" w:line="240" w:lineRule="auto"/>
        <w:rPr>
          <w:rFonts w:ascii="Times New Roman" w:hAnsi="Times New Roman" w:eastAsia="Calibri" w:cs="Times New Roman"/>
          <w:sz w:val="24"/>
          <w:szCs w:val="24"/>
          <w:highlight w:val="white"/>
          <w:lang w:eastAsia="ru-RU"/>
        </w:rPr>
      </w:pPr>
      <w:r>
        <w:rPr>
          <w:rFonts w:ascii="Times New Roman" w:hAnsi="Times New Roman" w:eastAsia="Calibri" w:cs="Times New Roman"/>
          <w:sz w:val="24"/>
          <w:szCs w:val="24"/>
          <w:shd w:val="clear" w:color="auto" w:fill="ffffff"/>
          <w:lang w:eastAsia="ru-RU"/>
        </w:rPr>
        <w:t xml:space="preserve">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r/>
    </w:p>
    <w:p>
      <w:pPr>
        <w:numPr>
          <w:ilvl w:val="0"/>
          <w:numId w:val="35"/>
        </w:numPr>
        <w:contextualSpacing/>
        <w:jc w:val="both"/>
        <w:spacing w:after="0" w:line="240" w:lineRule="auto"/>
        <w:rPr>
          <w:rFonts w:ascii="Times New Roman" w:hAnsi="Times New Roman" w:eastAsia="Calibri" w:cs="Times New Roman"/>
          <w:sz w:val="24"/>
          <w:szCs w:val="24"/>
          <w:highlight w:val="white"/>
          <w:lang w:eastAsia="ru-RU"/>
        </w:rPr>
      </w:pPr>
      <w:r>
        <w:rPr>
          <w:rFonts w:ascii="Times New Roman" w:hAnsi="Times New Roman" w:eastAsia="Calibri" w:cs="Times New Roman"/>
          <w:sz w:val="24"/>
          <w:szCs w:val="24"/>
          <w:shd w:val="clear" w:color="auto" w:fill="ffffff"/>
          <w:lang w:eastAsia="ru-RU"/>
        </w:rPr>
        <w:t xml:space="preserve">Послуги надаються з 01.01.2024 по 31.12.2024 року.</w:t>
      </w:r>
      <w:r/>
    </w:p>
    <w:p>
      <w:pPr>
        <w:contextualSpacing/>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p>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Додаткова інформація.</w:t>
      </w:r>
      <w:r/>
    </w:p>
    <w:p>
      <w:pPr>
        <w:ind w:firstLine="709"/>
        <w:jc w:val="both"/>
        <w:spacing w:after="0" w:line="240" w:lineRule="auto"/>
        <w:rPr>
          <w:rFonts w:ascii="Times New Roman" w:hAnsi="Times New Roman" w:eastAsia="Times New Roman" w:cs="Times New Roman"/>
          <w:b/>
          <w:bCs/>
          <w:i/>
          <w:iCs/>
          <w:sz w:val="24"/>
          <w:szCs w:val="24"/>
          <w:lang w:eastAsia="uk-UA"/>
        </w:rPr>
      </w:pPr>
      <w:r>
        <w:rPr>
          <w:rFonts w:ascii="Times New Roman" w:hAnsi="Times New Roman" w:eastAsia="Times New Roman" w:cs="Times New Roman"/>
          <w:b/>
          <w:bCs/>
          <w:i/>
          <w:iCs/>
          <w:sz w:val="24"/>
          <w:szCs w:val="24"/>
          <w:lang w:eastAsia="uk-UA"/>
        </w:rPr>
        <w:t xml:space="preserve">У разі в</w:t>
      </w:r>
      <w:r>
        <w:rPr>
          <w:rFonts w:ascii="Times New Roman" w:hAnsi="Times New Roman" w:eastAsia="Times New Roman" w:cs="Times New Roman"/>
          <w:b/>
          <w:bCs/>
          <w:i/>
          <w:iCs/>
          <w:sz w:val="24"/>
          <w:szCs w:val="24"/>
          <w:lang w:eastAsia="uk-UA"/>
        </w:rPr>
        <w:t xml:space="preserve">икористання в тендерній документації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w:t>
      </w:r>
      <w:r>
        <w:rPr>
          <w:rFonts w:ascii="Times New Roman" w:hAnsi="Times New Roman" w:eastAsia="Times New Roman" w:cs="Times New Roman"/>
          <w:b/>
          <w:bCs/>
          <w:i/>
          <w:iCs/>
          <w:sz w:val="24"/>
          <w:szCs w:val="24"/>
          <w:lang w:eastAsia="uk-UA"/>
        </w:rPr>
        <w:t xml:space="preserve">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такого посилання слід читати вираз </w:t>
      </w:r>
      <w:r>
        <w:rPr>
          <w:rFonts w:ascii="Times New Roman" w:hAnsi="Times New Roman" w:eastAsia="Times New Roman" w:cs="Times New Roman"/>
          <w:b/>
          <w:bCs/>
          <w:i/>
          <w:iCs/>
          <w:sz w:val="24"/>
          <w:szCs w:val="24"/>
          <w:u w:val="single"/>
          <w:lang w:eastAsia="uk-UA"/>
        </w:rPr>
        <w:t xml:space="preserve">"або еквівалент"</w:t>
      </w:r>
      <w:r>
        <w:rPr>
          <w:rFonts w:ascii="Times New Roman" w:hAnsi="Times New Roman" w:eastAsia="Times New Roman" w:cs="Times New Roman"/>
          <w:b/>
          <w:bCs/>
          <w:i/>
          <w:iCs/>
          <w:sz w:val="24"/>
          <w:szCs w:val="24"/>
          <w:lang w:eastAsia="uk-UA"/>
        </w:rPr>
        <w:t xml:space="preserve">.</w:t>
      </w:r>
      <w:r/>
    </w:p>
    <w:p>
      <w:pPr>
        <w:ind w:right="-1"/>
        <w:jc w:val="both"/>
        <w:spacing w:after="0" w:line="240" w:lineRule="auto"/>
        <w:widowControl w:val="off"/>
        <w:rPr>
          <w:rFonts w:ascii="Times New Roman" w:hAnsi="Times New Roman" w:eastAsia="Times New Roman" w:cs="Times New Roman"/>
          <w:b/>
          <w:bCs/>
          <w:i/>
          <w:iCs/>
          <w:sz w:val="24"/>
          <w:szCs w:val="24"/>
          <w:u w:val="single"/>
          <w:lang w:eastAsia="uk-UA"/>
        </w:rPr>
      </w:pPr>
      <w:r>
        <w:rPr>
          <w:rFonts w:ascii="Times New Roman" w:hAnsi="Times New Roman" w:eastAsia="Times New Roman" w:cs="Times New Roman"/>
          <w:b/>
          <w:bCs/>
          <w:i/>
          <w:iCs/>
          <w:sz w:val="24"/>
          <w:szCs w:val="24"/>
          <w:lang w:eastAsia="uk-UA"/>
        </w:rPr>
        <w:t xml:space="preserve">У разі використання в тендерній документації посилання на к</w:t>
      </w:r>
      <w:r>
        <w:rPr>
          <w:rFonts w:ascii="Times New Roman" w:hAnsi="Times New Roman" w:eastAsia="Times New Roman" w:cs="Times New Roman"/>
          <w:b/>
          <w:bCs/>
          <w:i/>
          <w:iCs/>
          <w:sz w:val="24"/>
          <w:szCs w:val="24"/>
          <w:lang w:eastAsia="uk-UA"/>
        </w:rPr>
        <w:t xml:space="preserve">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після такого посилання слід читати вираз </w:t>
      </w:r>
      <w:r>
        <w:rPr>
          <w:rFonts w:ascii="Times New Roman" w:hAnsi="Times New Roman" w:eastAsia="Times New Roman" w:cs="Times New Roman"/>
          <w:b/>
          <w:bCs/>
          <w:i/>
          <w:iCs/>
          <w:sz w:val="24"/>
          <w:szCs w:val="24"/>
          <w:u w:val="single"/>
          <w:lang w:eastAsia="uk-UA"/>
        </w:rPr>
        <w:t xml:space="preserve">"або еквівалент"</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36 082 440,00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тридцять шість мільйонів вісімдесят дві тисячі чотириста сорок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Droid Sans Fallback">
    <w:panose1 w:val="020B0502000000000001"/>
  </w:font>
  <w:font w:name="Cambria">
    <w:panose1 w:val="02020603050405020304"/>
  </w:font>
  <w:font w:name="Liberation Sans">
    <w:panose1 w:val="020B0604020202020204"/>
  </w:font>
  <w:font w:name="Wingdings">
    <w:panose1 w:val="05010000000000000000"/>
  </w:font>
  <w:font w:name="Courier New">
    <w:panose1 w:val="02070309020205020404"/>
  </w:font>
  <w:font w:name="Symbol">
    <w:panose1 w:val="05010000000000000000"/>
  </w:font>
  <w:font w:name="FreeSans">
    <w:panose1 w:val="020B05040202020202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5"/>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4">
    <w:multiLevelType w:val="hybridMultilevel"/>
    <w:lvl w:ilvl="0">
      <w:start w:val="1"/>
      <w:numFmt w:val="none"/>
      <w:isLgl w:val="false"/>
      <w:suff w:val="nothing"/>
      <w:lvlText w:val=""/>
      <w:lvlJc w:val="left"/>
      <w:pPr>
        <w:ind w:left="0" w:firstLine="0"/>
      </w:pPr>
    </w:lvl>
    <w:lvl w:ilvl="1">
      <w:start w:val="1"/>
      <w:numFmt w:val="none"/>
      <w:isLgl w:val="false"/>
      <w:suff w:val="nothing"/>
      <w:lvlText w:val=""/>
      <w:lvlJc w:val="left"/>
      <w:pPr>
        <w:ind w:left="0" w:firstLine="0"/>
      </w:pPr>
    </w:lvl>
    <w:lvl w:ilvl="2">
      <w:start w:val="1"/>
      <w:numFmt w:val="none"/>
      <w:isLgl w:val="false"/>
      <w:suff w:val="nothing"/>
      <w:lvlText w:val=""/>
      <w:lvlJc w:val="left"/>
      <w:pPr>
        <w:ind w:left="0" w:firstLine="0"/>
      </w:p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069" w:hanging="360"/>
      </w:pPr>
      <w:rPr>
        <w:rFonts w:hint="default" w:ascii="Symbol" w:hAnsi="Symbol" w:cs="Symbol"/>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b/>
        <w:i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1069" w:hanging="360"/>
      </w:pPr>
      <w:rPr>
        <w:rFonts w:hint="default" w:ascii="Symbol" w:hAnsi="Symbol" w:cs="Symbol"/>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536" w:hanging="360"/>
      </w:pPr>
    </w:lvl>
    <w:lvl w:ilvl="1">
      <w:start w:val="1"/>
      <w:numFmt w:val="lowerLetter"/>
      <w:isLgl w:val="false"/>
      <w:suff w:val="tab"/>
      <w:lvlText w:val="%2."/>
      <w:lvlJc w:val="left"/>
      <w:pPr>
        <w:ind w:left="1256" w:hanging="360"/>
      </w:pPr>
    </w:lvl>
    <w:lvl w:ilvl="2">
      <w:start w:val="1"/>
      <w:numFmt w:val="lowerRoman"/>
      <w:isLgl w:val="false"/>
      <w:suff w:val="tab"/>
      <w:lvlText w:val="%3."/>
      <w:lvlJc w:val="right"/>
      <w:pPr>
        <w:ind w:left="1976" w:hanging="180"/>
      </w:pPr>
    </w:lvl>
    <w:lvl w:ilvl="3">
      <w:start w:val="1"/>
      <w:numFmt w:val="decimal"/>
      <w:isLgl w:val="false"/>
      <w:suff w:val="tab"/>
      <w:lvlText w:val="%4."/>
      <w:lvlJc w:val="left"/>
      <w:pPr>
        <w:ind w:left="2696" w:hanging="360"/>
      </w:pPr>
    </w:lvl>
    <w:lvl w:ilvl="4">
      <w:start w:val="1"/>
      <w:numFmt w:val="lowerLetter"/>
      <w:isLgl w:val="false"/>
      <w:suff w:val="tab"/>
      <w:lvlText w:val="%5."/>
      <w:lvlJc w:val="left"/>
      <w:pPr>
        <w:ind w:left="3416" w:hanging="360"/>
      </w:pPr>
    </w:lvl>
    <w:lvl w:ilvl="5">
      <w:start w:val="1"/>
      <w:numFmt w:val="lowerRoman"/>
      <w:isLgl w:val="false"/>
      <w:suff w:val="tab"/>
      <w:lvlText w:val="%6."/>
      <w:lvlJc w:val="right"/>
      <w:pPr>
        <w:ind w:left="4136" w:hanging="180"/>
      </w:pPr>
    </w:lvl>
    <w:lvl w:ilvl="6">
      <w:start w:val="1"/>
      <w:numFmt w:val="decimal"/>
      <w:isLgl w:val="false"/>
      <w:suff w:val="tab"/>
      <w:lvlText w:val="%7."/>
      <w:lvlJc w:val="left"/>
      <w:pPr>
        <w:ind w:left="4856" w:hanging="360"/>
      </w:pPr>
    </w:lvl>
    <w:lvl w:ilvl="7">
      <w:start w:val="1"/>
      <w:numFmt w:val="lowerLetter"/>
      <w:isLgl w:val="false"/>
      <w:suff w:val="tab"/>
      <w:lvlText w:val="%8."/>
      <w:lvlJc w:val="left"/>
      <w:pPr>
        <w:ind w:left="5576" w:hanging="360"/>
      </w:pPr>
    </w:lvl>
    <w:lvl w:ilvl="8">
      <w:start w:val="1"/>
      <w:numFmt w:val="lowerRoman"/>
      <w:isLgl w:val="false"/>
      <w:suff w:val="tab"/>
      <w:lvlText w:val="%9."/>
      <w:lvlJc w:val="right"/>
      <w:pPr>
        <w:ind w:left="6296" w:hanging="180"/>
      </w:p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1069" w:hanging="360"/>
      </w:pPr>
      <w:rPr>
        <w:rFonts w:hint="default" w:ascii="Symbol" w:hAnsi="Symbol" w:cs="Symbol"/>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32">
    <w:multiLevelType w:val="hybridMultilevel"/>
    <w:lvl w:ilvl="0">
      <w:start w:val="1"/>
      <w:numFmt w:val="decimal"/>
      <w:isLgl w:val="false"/>
      <w:suff w:val="tab"/>
      <w:lvlText w:val="%1."/>
      <w:lvlJc w:val="left"/>
      <w:pPr>
        <w:ind w:left="360" w:hanging="360"/>
      </w:pPr>
      <w:rPr>
        <w:rFonts w:hint="default"/>
        <w:b/>
      </w:rPr>
    </w:lvl>
    <w:lvl w:ilvl="1">
      <w:start w:val="1"/>
      <w:numFmt w:val="decimal"/>
      <w:isLgl/>
      <w:suff w:val="tab"/>
      <w:lvlText w:val="%1.%2."/>
      <w:lvlJc w:val="left"/>
      <w:pPr>
        <w:ind w:left="786" w:hanging="360"/>
      </w:pPr>
      <w:rPr>
        <w:rFonts w:hint="default"/>
        <w:b w:val="0"/>
      </w:rPr>
    </w:lvl>
    <w:lvl w:ilvl="2">
      <w:start w:val="1"/>
      <w:numFmt w:val="decimal"/>
      <w:isLgl/>
      <w:suff w:val="tab"/>
      <w:lvlText w:val="%1.%2.%3."/>
      <w:lvlJc w:val="left"/>
      <w:pPr>
        <w:ind w:left="1430" w:hanging="720"/>
      </w:pPr>
      <w:rPr>
        <w:rFonts w:hint="default"/>
      </w:rPr>
    </w:lvl>
    <w:lvl w:ilvl="3">
      <w:start w:val="1"/>
      <w:numFmt w:val="decimal"/>
      <w:isLgl/>
      <w:suff w:val="tab"/>
      <w:lvlText w:val="%1.%2.%3.%4."/>
      <w:lvlJc w:val="left"/>
      <w:pPr>
        <w:ind w:left="1571" w:hanging="720"/>
      </w:pPr>
      <w:rPr>
        <w:rFonts w:hint="default"/>
      </w:rPr>
    </w:lvl>
    <w:lvl w:ilvl="4">
      <w:start w:val="1"/>
      <w:numFmt w:val="decimal"/>
      <w:isLgl/>
      <w:suff w:val="tab"/>
      <w:lvlText w:val="%1.%2.%3.%4.%5."/>
      <w:lvlJc w:val="left"/>
      <w:pPr>
        <w:ind w:left="1931" w:hanging="1080"/>
      </w:pPr>
      <w:rPr>
        <w:rFonts w:hint="default"/>
      </w:rPr>
    </w:lvl>
    <w:lvl w:ilvl="5">
      <w:start w:val="1"/>
      <w:numFmt w:val="decimal"/>
      <w:isLgl/>
      <w:suff w:val="tab"/>
      <w:lvlText w:val="%1.%2.%3.%4.%5.%6."/>
      <w:lvlJc w:val="left"/>
      <w:pPr>
        <w:ind w:left="1931" w:hanging="1080"/>
      </w:pPr>
      <w:rPr>
        <w:rFonts w:hint="default"/>
      </w:rPr>
    </w:lvl>
    <w:lvl w:ilvl="6">
      <w:start w:val="1"/>
      <w:numFmt w:val="decimal"/>
      <w:isLgl/>
      <w:suff w:val="tab"/>
      <w:lvlText w:val="%1.%2.%3.%4.%5.%6.%7."/>
      <w:lvlJc w:val="left"/>
      <w:pPr>
        <w:ind w:left="2291" w:hanging="1440"/>
      </w:pPr>
      <w:rPr>
        <w:rFonts w:hint="default"/>
      </w:rPr>
    </w:lvl>
    <w:lvl w:ilvl="7">
      <w:start w:val="1"/>
      <w:numFmt w:val="decimal"/>
      <w:isLgl/>
      <w:suff w:val="tab"/>
      <w:lvlText w:val="%1.%2.%3.%4.%5.%6.%7.%8."/>
      <w:lvlJc w:val="left"/>
      <w:pPr>
        <w:ind w:left="2291" w:hanging="1440"/>
      </w:pPr>
      <w:rPr>
        <w:rFonts w:hint="default"/>
      </w:rPr>
    </w:lvl>
    <w:lvl w:ilvl="8">
      <w:start w:val="1"/>
      <w:numFmt w:val="decimal"/>
      <w:isLgl/>
      <w:suff w:val="tab"/>
      <w:lvlText w:val="%1.%2.%3.%4.%5.%6.%7.%8.%9."/>
      <w:lvlJc w:val="left"/>
      <w:pPr>
        <w:ind w:left="2651" w:hanging="1800"/>
      </w:pPr>
      <w:rPr>
        <w:rFonts w:hint="default"/>
      </w:rPr>
    </w:lvl>
  </w:abstractNum>
  <w:abstractNum w:abstractNumId="33">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0">
    <w:multiLevelType w:val="hybridMultilevel"/>
    <w:lvl w:ilvl="0">
      <w:start w:val="3"/>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5464" w:hanging="360"/>
      </w:pPr>
      <w:rPr>
        <w:rFonts w:ascii="Times New Roman" w:hAnsi="Times New Roman"/>
        <w:b/>
        <w:sz w:val="24"/>
      </w:rPr>
    </w:lvl>
    <w:lvl w:ilvl="2">
      <w:start w:val="1"/>
      <w:numFmt w:val="decimal"/>
      <w:isLgl w:val="false"/>
      <w:suff w:val="tab"/>
      <w:lvlText w:val="%1.%2.%3."/>
      <w:lvlJc w:val="left"/>
      <w:pPr>
        <w:ind w:left="720" w:hanging="720"/>
      </w:pPr>
      <w:rPr>
        <w:rFonts w:ascii="Times New Roman" w:hAnsi="Times New Roman"/>
        <w:b/>
        <w:sz w:val="24"/>
      </w:r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4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4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6">
    <w:multiLevelType w:val="hybridMultilevel"/>
    <w:lvl w:ilvl="0">
      <w:start w:val="6"/>
      <w:numFmt w:val="decimal"/>
      <w:isLgl w:val="false"/>
      <w:suff w:val="tab"/>
      <w:lvlText w:val="%1."/>
      <w:lvlJc w:val="left"/>
      <w:pPr>
        <w:ind w:left="585" w:hanging="585"/>
      </w:pPr>
    </w:lvl>
    <w:lvl w:ilvl="1">
      <w:start w:val="5"/>
      <w:numFmt w:val="decimal"/>
      <w:isLgl w:val="false"/>
      <w:suff w:val="tab"/>
      <w:lvlText w:val="%1.%2."/>
      <w:lvlJc w:val="left"/>
      <w:pPr>
        <w:ind w:left="720" w:hanging="720"/>
      </w:pPr>
    </w:lvl>
    <w:lvl w:ilvl="2">
      <w:start w:val="1"/>
      <w:numFmt w:val="decimal"/>
      <w:isLgl w:val="false"/>
      <w:suff w:val="tab"/>
      <w:lvlText w:val="%1.%2.%3."/>
      <w:lvlJc w:val="left"/>
      <w:pPr>
        <w:ind w:left="720" w:hanging="720"/>
      </w:pPr>
      <w:rPr>
        <w:rFonts w:ascii="Times New Roman" w:hAnsi="Times New Roman"/>
        <w:b/>
        <w:sz w:val="24"/>
      </w:r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abstractNum w:abstractNumId="4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42"/>
  </w:num>
  <w:num w:numId="2">
    <w:abstractNumId w:val="24"/>
  </w:num>
  <w:num w:numId="3">
    <w:abstractNumId w:val="8"/>
  </w:num>
  <w:num w:numId="4">
    <w:abstractNumId w:val="34"/>
  </w:num>
  <w:num w:numId="5">
    <w:abstractNumId w:val="7"/>
  </w:num>
  <w:num w:numId="6">
    <w:abstractNumId w:val="43"/>
  </w:num>
  <w:num w:numId="7">
    <w:abstractNumId w:val="12"/>
  </w:num>
  <w:num w:numId="8">
    <w:abstractNumId w:val="45"/>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9"/>
  </w:num>
  <w:num w:numId="13">
    <w:abstractNumId w:val="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4"/>
  </w:num>
  <w:num w:numId="17">
    <w:abstractNumId w:val="0"/>
  </w:num>
  <w:num w:numId="18">
    <w:abstractNumId w:val="48"/>
  </w:num>
  <w:num w:numId="19">
    <w:abstractNumId w:val="35"/>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6"/>
  </w:num>
  <w:num w:numId="25">
    <w:abstractNumId w:val="26"/>
  </w:num>
  <w:num w:numId="26">
    <w:abstractNumId w:val="30"/>
  </w:num>
  <w:num w:numId="27">
    <w:abstractNumId w:val="38"/>
  </w:num>
  <w:num w:numId="28">
    <w:abstractNumId w:val="28"/>
  </w:num>
  <w:num w:numId="29">
    <w:abstractNumId w:val="39"/>
  </w:num>
  <w:num w:numId="30">
    <w:abstractNumId w:val="21"/>
  </w:num>
  <w:num w:numId="31">
    <w:abstractNumId w:val="2"/>
  </w:num>
  <w:num w:numId="32">
    <w:abstractNumId w:val="23"/>
  </w:num>
  <w:num w:numId="33">
    <w:abstractNumId w:val="31"/>
  </w:num>
  <w:num w:numId="34">
    <w:abstractNumId w:val="25"/>
  </w:num>
  <w:num w:numId="35">
    <w:abstractNumId w:val="15"/>
  </w:num>
  <w:num w:numId="36">
    <w:abstractNumId w:val="37"/>
  </w:num>
  <w:num w:numId="37">
    <w:abstractNumId w:val="41"/>
  </w:num>
  <w:num w:numId="38">
    <w:abstractNumId w:val="46"/>
  </w:num>
  <w:num w:numId="39">
    <w:abstractNumId w:val="3"/>
  </w:num>
  <w:num w:numId="40">
    <w:abstractNumId w:val="13"/>
  </w:num>
  <w:num w:numId="41">
    <w:abstractNumId w:val="18"/>
  </w:num>
  <w:num w:numId="42">
    <w:abstractNumId w:val="16"/>
  </w:num>
  <w:num w:numId="43">
    <w:abstractNumId w:val="19"/>
  </w:num>
  <w:num w:numId="44">
    <w:abstractNumId w:val="40"/>
  </w:num>
  <w:num w:numId="45">
    <w:abstractNumId w:val="4"/>
  </w:num>
  <w:num w:numId="46">
    <w:abstractNumId w:val="32"/>
  </w:num>
  <w:num w:numId="47">
    <w:abstractNumId w:val="10"/>
  </w:num>
  <w:num w:numId="48">
    <w:abstractNumId w:val="47"/>
  </w:num>
  <w:num w:numId="49">
    <w:abstractNumId w:val="22"/>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46"/>
    <w:link w:val="744"/>
    <w:uiPriority w:val="9"/>
    <w:rPr>
      <w:rFonts w:ascii="Arial" w:hAnsi="Arial" w:eastAsia="Arial" w:cs="Arial"/>
      <w:sz w:val="40"/>
      <w:szCs w:val="40"/>
    </w:rPr>
  </w:style>
  <w:style w:type="character" w:styleId="15">
    <w:name w:val="Heading 2 Char"/>
    <w:basedOn w:val="746"/>
    <w:link w:val="745"/>
    <w:uiPriority w:val="9"/>
    <w:rPr>
      <w:rFonts w:ascii="Arial" w:hAnsi="Arial" w:eastAsia="Arial" w:cs="Arial"/>
      <w:sz w:val="34"/>
    </w:rPr>
  </w:style>
  <w:style w:type="paragraph" w:styleId="16">
    <w:name w:val="Heading 3"/>
    <w:basedOn w:val="743"/>
    <w:next w:val="743"/>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46"/>
    <w:link w:val="16"/>
    <w:uiPriority w:val="9"/>
    <w:rPr>
      <w:rFonts w:ascii="Arial" w:hAnsi="Arial" w:eastAsia="Arial" w:cs="Arial"/>
      <w:sz w:val="30"/>
      <w:szCs w:val="30"/>
    </w:rPr>
  </w:style>
  <w:style w:type="paragraph" w:styleId="18">
    <w:name w:val="Heading 4"/>
    <w:basedOn w:val="743"/>
    <w:next w:val="743"/>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46"/>
    <w:link w:val="18"/>
    <w:uiPriority w:val="9"/>
    <w:rPr>
      <w:rFonts w:ascii="Arial" w:hAnsi="Arial" w:eastAsia="Arial" w:cs="Arial"/>
      <w:b/>
      <w:bCs/>
      <w:sz w:val="26"/>
      <w:szCs w:val="26"/>
    </w:rPr>
  </w:style>
  <w:style w:type="paragraph" w:styleId="20">
    <w:name w:val="Heading 5"/>
    <w:basedOn w:val="743"/>
    <w:next w:val="74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46"/>
    <w:link w:val="20"/>
    <w:uiPriority w:val="9"/>
    <w:rPr>
      <w:rFonts w:ascii="Arial" w:hAnsi="Arial" w:eastAsia="Arial" w:cs="Arial"/>
      <w:b/>
      <w:bCs/>
      <w:sz w:val="24"/>
      <w:szCs w:val="24"/>
    </w:rPr>
  </w:style>
  <w:style w:type="paragraph" w:styleId="22">
    <w:name w:val="Heading 6"/>
    <w:basedOn w:val="743"/>
    <w:next w:val="74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46"/>
    <w:link w:val="22"/>
    <w:uiPriority w:val="9"/>
    <w:rPr>
      <w:rFonts w:ascii="Arial" w:hAnsi="Arial" w:eastAsia="Arial" w:cs="Arial"/>
      <w:b/>
      <w:bCs/>
      <w:sz w:val="22"/>
      <w:szCs w:val="22"/>
    </w:rPr>
  </w:style>
  <w:style w:type="paragraph" w:styleId="24">
    <w:name w:val="Heading 7"/>
    <w:basedOn w:val="743"/>
    <w:next w:val="74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46"/>
    <w:link w:val="24"/>
    <w:uiPriority w:val="9"/>
    <w:rPr>
      <w:rFonts w:ascii="Arial" w:hAnsi="Arial" w:eastAsia="Arial" w:cs="Arial"/>
      <w:b/>
      <w:bCs/>
      <w:i/>
      <w:iCs/>
      <w:sz w:val="22"/>
      <w:szCs w:val="22"/>
    </w:rPr>
  </w:style>
  <w:style w:type="paragraph" w:styleId="26">
    <w:name w:val="Heading 8"/>
    <w:basedOn w:val="743"/>
    <w:next w:val="74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46"/>
    <w:link w:val="26"/>
    <w:uiPriority w:val="9"/>
    <w:rPr>
      <w:rFonts w:ascii="Arial" w:hAnsi="Arial" w:eastAsia="Arial" w:cs="Arial"/>
      <w:i/>
      <w:iCs/>
      <w:sz w:val="22"/>
      <w:szCs w:val="22"/>
    </w:rPr>
  </w:style>
  <w:style w:type="paragraph" w:styleId="28">
    <w:name w:val="Heading 9"/>
    <w:basedOn w:val="743"/>
    <w:next w:val="74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46"/>
    <w:link w:val="28"/>
    <w:uiPriority w:val="9"/>
    <w:rPr>
      <w:rFonts w:ascii="Arial" w:hAnsi="Arial" w:eastAsia="Arial" w:cs="Arial"/>
      <w:i/>
      <w:iCs/>
      <w:sz w:val="21"/>
      <w:szCs w:val="21"/>
    </w:rPr>
  </w:style>
  <w:style w:type="paragraph" w:styleId="33">
    <w:name w:val="Title"/>
    <w:basedOn w:val="743"/>
    <w:next w:val="743"/>
    <w:link w:val="34"/>
    <w:uiPriority w:val="10"/>
    <w:qFormat/>
    <w:pPr>
      <w:contextualSpacing/>
      <w:spacing w:before="300" w:after="200"/>
    </w:pPr>
    <w:rPr>
      <w:sz w:val="48"/>
      <w:szCs w:val="48"/>
    </w:rPr>
  </w:style>
  <w:style w:type="character" w:styleId="34">
    <w:name w:val="Title Char"/>
    <w:basedOn w:val="746"/>
    <w:link w:val="33"/>
    <w:uiPriority w:val="10"/>
    <w:rPr>
      <w:sz w:val="48"/>
      <w:szCs w:val="48"/>
    </w:rPr>
  </w:style>
  <w:style w:type="paragraph" w:styleId="35">
    <w:name w:val="Subtitle"/>
    <w:basedOn w:val="743"/>
    <w:next w:val="743"/>
    <w:link w:val="36"/>
    <w:uiPriority w:val="11"/>
    <w:qFormat/>
    <w:pPr>
      <w:spacing w:before="200" w:after="200"/>
    </w:pPr>
    <w:rPr>
      <w:sz w:val="24"/>
      <w:szCs w:val="24"/>
    </w:rPr>
  </w:style>
  <w:style w:type="character" w:styleId="36">
    <w:name w:val="Subtitle Char"/>
    <w:basedOn w:val="746"/>
    <w:link w:val="35"/>
    <w:uiPriority w:val="11"/>
    <w:rPr>
      <w:sz w:val="24"/>
      <w:szCs w:val="24"/>
    </w:rPr>
  </w:style>
  <w:style w:type="paragraph" w:styleId="37">
    <w:name w:val="Quote"/>
    <w:basedOn w:val="743"/>
    <w:next w:val="743"/>
    <w:link w:val="38"/>
    <w:uiPriority w:val="29"/>
    <w:qFormat/>
    <w:pPr>
      <w:ind w:left="720" w:right="720"/>
    </w:pPr>
    <w:rPr>
      <w:i/>
    </w:rPr>
  </w:style>
  <w:style w:type="character" w:styleId="38">
    <w:name w:val="Quote Char"/>
    <w:link w:val="37"/>
    <w:uiPriority w:val="29"/>
    <w:rPr>
      <w:i/>
    </w:rPr>
  </w:style>
  <w:style w:type="paragraph" w:styleId="39">
    <w:name w:val="Intense Quote"/>
    <w:basedOn w:val="743"/>
    <w:next w:val="74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746"/>
    <w:link w:val="915"/>
    <w:uiPriority w:val="99"/>
  </w:style>
  <w:style w:type="character" w:styleId="44">
    <w:name w:val="Footer Char"/>
    <w:basedOn w:val="746"/>
    <w:link w:val="755"/>
    <w:uiPriority w:val="99"/>
  </w:style>
  <w:style w:type="character" w:styleId="46">
    <w:name w:val="Caption Char"/>
    <w:basedOn w:val="908"/>
    <w:link w:val="755"/>
    <w:uiPriority w:val="99"/>
  </w:style>
  <w:style w:type="table" w:styleId="48">
    <w:name w:val="Table Grid Light"/>
    <w:basedOn w:val="7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4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4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4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4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4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4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4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46"/>
    <w:uiPriority w:val="99"/>
    <w:unhideWhenUsed/>
    <w:rPr>
      <w:vertAlign w:val="superscript"/>
    </w:rPr>
  </w:style>
  <w:style w:type="paragraph" w:styleId="177">
    <w:name w:val="endnote text"/>
    <w:basedOn w:val="74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46"/>
    <w:uiPriority w:val="99"/>
    <w:semiHidden/>
    <w:unhideWhenUsed/>
    <w:rPr>
      <w:vertAlign w:val="superscript"/>
    </w:rPr>
  </w:style>
  <w:style w:type="paragraph" w:styleId="180">
    <w:name w:val="toc 1"/>
    <w:basedOn w:val="743"/>
    <w:next w:val="743"/>
    <w:uiPriority w:val="39"/>
    <w:unhideWhenUsed/>
    <w:pPr>
      <w:ind w:left="0" w:right="0" w:firstLine="0"/>
      <w:spacing w:after="57"/>
    </w:pPr>
  </w:style>
  <w:style w:type="paragraph" w:styleId="181">
    <w:name w:val="toc 2"/>
    <w:basedOn w:val="743"/>
    <w:next w:val="743"/>
    <w:uiPriority w:val="39"/>
    <w:unhideWhenUsed/>
    <w:pPr>
      <w:ind w:left="283" w:right="0" w:firstLine="0"/>
      <w:spacing w:after="57"/>
    </w:pPr>
  </w:style>
  <w:style w:type="paragraph" w:styleId="182">
    <w:name w:val="toc 3"/>
    <w:basedOn w:val="743"/>
    <w:next w:val="743"/>
    <w:uiPriority w:val="39"/>
    <w:unhideWhenUsed/>
    <w:pPr>
      <w:ind w:left="567" w:right="0" w:firstLine="0"/>
      <w:spacing w:after="57"/>
    </w:pPr>
  </w:style>
  <w:style w:type="paragraph" w:styleId="183">
    <w:name w:val="toc 4"/>
    <w:basedOn w:val="743"/>
    <w:next w:val="743"/>
    <w:uiPriority w:val="39"/>
    <w:unhideWhenUsed/>
    <w:pPr>
      <w:ind w:left="850" w:right="0" w:firstLine="0"/>
      <w:spacing w:after="57"/>
    </w:pPr>
  </w:style>
  <w:style w:type="paragraph" w:styleId="184">
    <w:name w:val="toc 5"/>
    <w:basedOn w:val="743"/>
    <w:next w:val="743"/>
    <w:uiPriority w:val="39"/>
    <w:unhideWhenUsed/>
    <w:pPr>
      <w:ind w:left="1134" w:right="0" w:firstLine="0"/>
      <w:spacing w:after="57"/>
    </w:pPr>
  </w:style>
  <w:style w:type="paragraph" w:styleId="185">
    <w:name w:val="toc 6"/>
    <w:basedOn w:val="743"/>
    <w:next w:val="743"/>
    <w:uiPriority w:val="39"/>
    <w:unhideWhenUsed/>
    <w:pPr>
      <w:ind w:left="1417" w:right="0" w:firstLine="0"/>
      <w:spacing w:after="57"/>
    </w:pPr>
  </w:style>
  <w:style w:type="paragraph" w:styleId="186">
    <w:name w:val="toc 7"/>
    <w:basedOn w:val="743"/>
    <w:next w:val="743"/>
    <w:uiPriority w:val="39"/>
    <w:unhideWhenUsed/>
    <w:pPr>
      <w:ind w:left="1701" w:right="0" w:firstLine="0"/>
      <w:spacing w:after="57"/>
    </w:pPr>
  </w:style>
  <w:style w:type="paragraph" w:styleId="187">
    <w:name w:val="toc 8"/>
    <w:basedOn w:val="743"/>
    <w:next w:val="743"/>
    <w:uiPriority w:val="39"/>
    <w:unhideWhenUsed/>
    <w:pPr>
      <w:ind w:left="1984" w:right="0" w:firstLine="0"/>
      <w:spacing w:after="57"/>
    </w:pPr>
  </w:style>
  <w:style w:type="paragraph" w:styleId="188">
    <w:name w:val="toc 9"/>
    <w:basedOn w:val="743"/>
    <w:next w:val="74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43"/>
    <w:next w:val="743"/>
    <w:uiPriority w:val="99"/>
    <w:unhideWhenUsed/>
    <w:pPr>
      <w:spacing w:after="0" w:afterAutospacing="0"/>
    </w:pPr>
  </w:style>
  <w:style w:type="paragraph" w:styleId="743" w:default="1">
    <w:name w:val="Normal"/>
    <w:qFormat/>
    <w:rPr>
      <w:lang w:val="uk-UA"/>
    </w:rPr>
  </w:style>
  <w:style w:type="paragraph" w:styleId="744">
    <w:name w:val="Heading 1"/>
    <w:basedOn w:val="743"/>
    <w:next w:val="743"/>
    <w:link w:val="781"/>
    <w:uiPriority w:val="1"/>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745">
    <w:name w:val="Heading 2"/>
    <w:basedOn w:val="743"/>
    <w:link w:val="764"/>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46" w:default="1">
    <w:name w:val="Default Paragraph Font"/>
    <w:uiPriority w:val="1"/>
    <w:semiHidden/>
    <w:unhideWhenUsed/>
  </w:style>
  <w:style w:type="table" w:styleId="747" w:default="1">
    <w:name w:val="Normal Table"/>
    <w:uiPriority w:val="99"/>
    <w:semiHidden/>
    <w:unhideWhenUsed/>
    <w:tblPr>
      <w:tblInd w:w="0" w:type="dxa"/>
      <w:tblCellMar>
        <w:left w:w="108" w:type="dxa"/>
        <w:top w:w="0" w:type="dxa"/>
        <w:right w:w="108" w:type="dxa"/>
        <w:bottom w:w="0" w:type="dxa"/>
      </w:tblCellMar>
    </w:tblPr>
  </w:style>
  <w:style w:type="numbering" w:styleId="748" w:default="1">
    <w:name w:val="No List"/>
    <w:uiPriority w:val="99"/>
    <w:semiHidden/>
    <w:unhideWhenUsed/>
  </w:style>
  <w:style w:type="paragraph" w:styleId="749">
    <w:name w:val="List Paragraph"/>
    <w:basedOn w:val="743"/>
    <w:link w:val="750"/>
    <w:uiPriority w:val="34"/>
    <w:qFormat/>
    <w:pPr>
      <w:contextualSpacing/>
      <w:ind w:left="720"/>
      <w:spacing w:after="200" w:line="276" w:lineRule="auto"/>
    </w:pPr>
    <w:rPr>
      <w:rFonts w:ascii="Calibri" w:hAnsi="Calibri" w:eastAsia="Calibri" w:cs="Calibri"/>
      <w:lang w:val="ru-RU" w:eastAsia="zh-CN"/>
    </w:rPr>
  </w:style>
  <w:style w:type="character" w:styleId="750" w:customStyle="1">
    <w:name w:val="Абзац списку Знак"/>
    <w:link w:val="749"/>
    <w:uiPriority w:val="34"/>
    <w:qFormat/>
    <w:rPr>
      <w:rFonts w:ascii="Calibri" w:hAnsi="Calibri" w:eastAsia="Calibri" w:cs="Calibri"/>
      <w:lang w:eastAsia="zh-CN"/>
    </w:rPr>
  </w:style>
  <w:style w:type="table" w:styleId="751">
    <w:name w:val="Table Grid"/>
    <w:basedOn w:val="747"/>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52" w:customStyle="1">
    <w:name w:val="Сетка таблицы2"/>
    <w:basedOn w:val="747"/>
    <w:next w:val="751"/>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3">
    <w:name w:val="Normal (Web)"/>
    <w:basedOn w:val="743"/>
    <w:link w:val="760"/>
    <w:uiPriority w:val="99"/>
    <w:unhideWhenUsed/>
    <w:qFormat/>
    <w:rPr>
      <w:rFonts w:ascii="Times New Roman" w:hAnsi="Times New Roman" w:cs="Times New Roman"/>
      <w:sz w:val="24"/>
      <w:szCs w:val="24"/>
    </w:rPr>
  </w:style>
  <w:style w:type="table" w:styleId="754" w:customStyle="1">
    <w:name w:val="Сетка таблицы1"/>
    <w:basedOn w:val="747"/>
    <w:next w:val="751"/>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5">
    <w:name w:val="Footer"/>
    <w:basedOn w:val="743"/>
    <w:link w:val="756"/>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56" w:customStyle="1">
    <w:name w:val="Нижній колонтитул Знак"/>
    <w:basedOn w:val="746"/>
    <w:link w:val="755"/>
    <w:uiPriority w:val="99"/>
    <w:rPr>
      <w:rFonts w:ascii="Calibri" w:hAnsi="Calibri" w:eastAsia="Calibri" w:cs="Calibri"/>
      <w:lang w:eastAsia="zh-CN"/>
    </w:rPr>
  </w:style>
  <w:style w:type="paragraph" w:styleId="757"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58">
    <w:name w:val="Hyperlink"/>
    <w:basedOn w:val="746"/>
    <w:uiPriority w:val="99"/>
    <w:unhideWhenUsed/>
    <w:rPr>
      <w:color w:val="0563c1" w:themeColor="hyperlink"/>
      <w:u w:val="single"/>
    </w:rPr>
  </w:style>
  <w:style w:type="character" w:styleId="759" w:customStyle="1">
    <w:name w:val="xfm_93972720"/>
    <w:basedOn w:val="746"/>
  </w:style>
  <w:style w:type="character" w:styleId="760" w:customStyle="1">
    <w:name w:val="Звичайний (веб) Знак"/>
    <w:link w:val="753"/>
    <w:uiPriority w:val="99"/>
    <w:qFormat/>
    <w:rPr>
      <w:rFonts w:ascii="Times New Roman" w:hAnsi="Times New Roman" w:cs="Times New Roman"/>
      <w:sz w:val="24"/>
      <w:szCs w:val="24"/>
      <w:lang w:val="uk-UA"/>
    </w:rPr>
  </w:style>
  <w:style w:type="paragraph" w:styleId="761">
    <w:name w:val="Body Text 2"/>
    <w:basedOn w:val="743"/>
    <w:link w:val="762"/>
    <w:pPr>
      <w:spacing w:after="0" w:line="240" w:lineRule="auto"/>
    </w:pPr>
    <w:rPr>
      <w:rFonts w:ascii="Times New Roman" w:hAnsi="Times New Roman" w:eastAsia="Times New Roman" w:cs="Times New Roman"/>
      <w:sz w:val="28"/>
      <w:szCs w:val="20"/>
      <w:lang w:val="ru-RU" w:eastAsia="ru-RU"/>
    </w:rPr>
  </w:style>
  <w:style w:type="character" w:styleId="762" w:customStyle="1">
    <w:name w:val="Основний текст 2 Знак"/>
    <w:basedOn w:val="746"/>
    <w:link w:val="761"/>
    <w:rPr>
      <w:rFonts w:ascii="Times New Roman" w:hAnsi="Times New Roman" w:eastAsia="Times New Roman" w:cs="Times New Roman"/>
      <w:sz w:val="28"/>
      <w:szCs w:val="20"/>
      <w:lang w:eastAsia="ru-RU"/>
    </w:rPr>
  </w:style>
  <w:style w:type="paragraph" w:styleId="763" w:customStyle="1">
    <w:name w:val="Default"/>
    <w:qFormat/>
    <w:pPr>
      <w:spacing w:after="0" w:line="240" w:lineRule="auto"/>
    </w:pPr>
    <w:rPr>
      <w:rFonts w:ascii="Times New Roman" w:hAnsi="Times New Roman" w:eastAsia="Calibri" w:cs="Times New Roman"/>
      <w:color w:val="000000"/>
      <w:sz w:val="24"/>
      <w:szCs w:val="24"/>
      <w:lang w:val="uk-UA" w:eastAsia="uk-UA"/>
    </w:rPr>
  </w:style>
  <w:style w:type="character" w:styleId="764" w:customStyle="1">
    <w:name w:val="Заголовок 2 Знак"/>
    <w:basedOn w:val="746"/>
    <w:link w:val="745"/>
    <w:uiPriority w:val="9"/>
    <w:rPr>
      <w:rFonts w:ascii="Times New Roman" w:hAnsi="Times New Roman" w:eastAsia="Times New Roman" w:cs="Times New Roman"/>
      <w:b/>
      <w:bCs/>
      <w:sz w:val="36"/>
      <w:szCs w:val="36"/>
      <w:lang w:val="uk-UA" w:eastAsia="uk-UA"/>
    </w:rPr>
  </w:style>
  <w:style w:type="paragraph" w:styleId="765">
    <w:name w:val="No Spacing"/>
    <w:link w:val="766"/>
    <w:uiPriority w:val="1"/>
    <w:qFormat/>
    <w:pPr>
      <w:spacing w:after="0" w:line="240" w:lineRule="auto"/>
    </w:pPr>
    <w:rPr>
      <w:rFonts w:ascii="Calibri" w:hAnsi="Calibri" w:eastAsia="Calibri" w:cs="Times New Roman"/>
      <w:lang w:val="uk-UA"/>
    </w:rPr>
  </w:style>
  <w:style w:type="character" w:styleId="766" w:customStyle="1">
    <w:name w:val="Без інтервалів Знак"/>
    <w:basedOn w:val="746"/>
    <w:link w:val="765"/>
    <w:uiPriority w:val="1"/>
    <w:rPr>
      <w:rFonts w:ascii="Calibri" w:hAnsi="Calibri" w:eastAsia="Calibri" w:cs="Times New Roman"/>
      <w:lang w:val="uk-UA"/>
    </w:rPr>
  </w:style>
  <w:style w:type="character" w:styleId="767" w:customStyle="1">
    <w:name w:val="Другое_"/>
    <w:basedOn w:val="746"/>
    <w:link w:val="768"/>
    <w:rPr>
      <w:rFonts w:ascii="Calibri" w:hAnsi="Calibri" w:eastAsia="Calibri" w:cs="Calibri"/>
      <w:sz w:val="20"/>
      <w:szCs w:val="20"/>
    </w:rPr>
  </w:style>
  <w:style w:type="paragraph" w:styleId="768" w:customStyle="1">
    <w:name w:val="Другое"/>
    <w:basedOn w:val="743"/>
    <w:link w:val="767"/>
    <w:qFormat/>
    <w:pPr>
      <w:spacing w:after="0" w:line="240" w:lineRule="auto"/>
      <w:widowControl w:val="off"/>
    </w:pPr>
    <w:rPr>
      <w:rFonts w:ascii="Calibri" w:hAnsi="Calibri" w:eastAsia="Calibri" w:cs="Calibri"/>
      <w:sz w:val="20"/>
      <w:szCs w:val="20"/>
      <w:lang w:val="ru-RU"/>
    </w:rPr>
  </w:style>
  <w:style w:type="paragraph" w:styleId="769"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70" w:customStyle="1">
    <w:name w:val="Основной текст (2)_"/>
    <w:basedOn w:val="746"/>
    <w:link w:val="771"/>
    <w:qFormat/>
    <w:rPr>
      <w:rFonts w:eastAsia="Times New Roman" w:cs="Times New Roman"/>
      <w:shd w:val="clear" w:color="auto" w:fill="ffffff"/>
    </w:rPr>
  </w:style>
  <w:style w:type="paragraph" w:styleId="771" w:customStyle="1">
    <w:name w:val="Основной текст (2)"/>
    <w:basedOn w:val="743"/>
    <w:link w:val="770"/>
    <w:qFormat/>
    <w:pPr>
      <w:ind w:hanging="700"/>
      <w:jc w:val="both"/>
      <w:spacing w:before="240" w:after="480" w:line="0" w:lineRule="atLeast"/>
      <w:shd w:val="clear" w:color="auto" w:fill="ffffff"/>
      <w:widowControl w:val="off"/>
    </w:pPr>
    <w:rPr>
      <w:rFonts w:eastAsia="Times New Roman" w:cs="Times New Roman"/>
      <w:lang w:val="ru-RU"/>
    </w:rPr>
  </w:style>
  <w:style w:type="character" w:styleId="772" w:customStyle="1">
    <w:name w:val="Текст у виносці Знак"/>
    <w:basedOn w:val="746"/>
    <w:link w:val="773"/>
    <w:uiPriority w:val="99"/>
    <w:semiHidden/>
    <w:rPr>
      <w:rFonts w:ascii="Segoe UI" w:hAnsi="Segoe UI" w:eastAsia="Times New Roman" w:cs="Segoe UI"/>
      <w:sz w:val="18"/>
      <w:szCs w:val="18"/>
      <w:lang w:eastAsia="ru-RU"/>
    </w:rPr>
  </w:style>
  <w:style w:type="paragraph" w:styleId="773">
    <w:name w:val="Balloon Text"/>
    <w:basedOn w:val="743"/>
    <w:link w:val="772"/>
    <w:uiPriority w:val="99"/>
    <w:semiHidden/>
    <w:unhideWhenUsed/>
    <w:qFormat/>
    <w:pPr>
      <w:spacing w:after="0" w:line="240" w:lineRule="auto"/>
      <w:widowControl w:val="off"/>
    </w:pPr>
    <w:rPr>
      <w:rFonts w:ascii="Segoe UI" w:hAnsi="Segoe UI" w:eastAsia="Times New Roman" w:cs="Segoe UI"/>
      <w:sz w:val="18"/>
      <w:szCs w:val="18"/>
      <w:lang w:val="ru-RU" w:eastAsia="ru-RU"/>
    </w:rPr>
  </w:style>
  <w:style w:type="character" w:styleId="774" w:customStyle="1">
    <w:name w:val="Текст у виносці Знак1"/>
    <w:basedOn w:val="746"/>
    <w:uiPriority w:val="99"/>
    <w:semiHidden/>
    <w:rPr>
      <w:rFonts w:ascii="Segoe UI" w:hAnsi="Segoe UI" w:cs="Segoe UI"/>
      <w:sz w:val="18"/>
      <w:szCs w:val="18"/>
      <w:lang w:val="uk-UA"/>
    </w:rPr>
  </w:style>
  <w:style w:type="character" w:styleId="775" w:customStyle="1">
    <w:name w:val="T23"/>
    <w:rPr>
      <w:rFonts w:hint="default" w:ascii="Times New Roman" w:hAnsi="Times New Roman" w:eastAsia="Times New Roman1" w:cs="Times New Roman"/>
    </w:rPr>
  </w:style>
  <w:style w:type="paragraph" w:styleId="776" w:customStyle="1">
    <w:name w:val="Абзац списку1"/>
    <w:basedOn w:val="74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77" w:customStyle="1">
    <w:name w:val="markedcontent"/>
    <w:basedOn w:val="746"/>
  </w:style>
  <w:style w:type="paragraph" w:styleId="778">
    <w:name w:val="annotation text"/>
    <w:basedOn w:val="743"/>
    <w:link w:val="779"/>
    <w:uiPriority w:val="99"/>
    <w:unhideWhenUsed/>
    <w:qFormat/>
    <w:pPr>
      <w:spacing w:after="0" w:line="240" w:lineRule="auto"/>
      <w:widowControl w:val="off"/>
    </w:pPr>
    <w:rPr>
      <w:rFonts w:ascii="Times New Roman" w:hAnsi="Times New Roman" w:eastAsia="Times New Roman" w:cs="Times New Roman"/>
      <w:sz w:val="20"/>
      <w:szCs w:val="20"/>
      <w:lang w:val="ru-RU" w:eastAsia="ru-RU"/>
    </w:rPr>
  </w:style>
  <w:style w:type="character" w:styleId="779" w:customStyle="1">
    <w:name w:val="Текст примітки Знак"/>
    <w:basedOn w:val="746"/>
    <w:link w:val="778"/>
    <w:uiPriority w:val="99"/>
    <w:rPr>
      <w:rFonts w:ascii="Times New Roman" w:hAnsi="Times New Roman" w:eastAsia="Times New Roman" w:cs="Times New Roman"/>
      <w:sz w:val="20"/>
      <w:szCs w:val="20"/>
      <w:lang w:eastAsia="ru-RU"/>
    </w:rPr>
  </w:style>
  <w:style w:type="character" w:styleId="780" w:customStyle="1">
    <w:name w:val="xfmc1"/>
    <w:basedOn w:val="746"/>
  </w:style>
  <w:style w:type="character" w:styleId="781" w:customStyle="1">
    <w:name w:val="Заголовок 1 Знак"/>
    <w:basedOn w:val="746"/>
    <w:link w:val="744"/>
    <w:uiPriority w:val="1"/>
    <w:rPr>
      <w:rFonts w:asciiTheme="majorHAnsi" w:hAnsiTheme="majorHAnsi" w:eastAsiaTheme="majorEastAsia" w:cstheme="majorBidi"/>
      <w:color w:val="2e74b5" w:themeColor="accent1" w:themeShade="BF"/>
      <w:sz w:val="32"/>
      <w:szCs w:val="32"/>
      <w:lang w:val="uk-UA"/>
    </w:rPr>
  </w:style>
  <w:style w:type="paragraph" w:styleId="782" w:customStyle="1">
    <w:name w:val="Table Paragraph"/>
    <w:basedOn w:val="743"/>
    <w:uiPriority w:val="1"/>
    <w:qFormat/>
    <w:pPr>
      <w:spacing w:after="0" w:line="240" w:lineRule="auto"/>
      <w:widowControl w:val="off"/>
    </w:pPr>
    <w:rPr>
      <w:rFonts w:ascii="Times New Roman" w:hAnsi="Times New Roman" w:eastAsia="Times New Roman" w:cs="Times New Roman"/>
    </w:rPr>
  </w:style>
  <w:style w:type="character" w:styleId="783" w:customStyle="1">
    <w:name w:val="Основной текст Знак"/>
    <w:basedOn w:val="746"/>
    <w:qFormat/>
    <w:rPr>
      <w:rFonts w:ascii="Times New Roman" w:hAnsi="Times New Roman" w:eastAsia="Times New Roman" w:cs="Times New Roman"/>
      <w:color w:val="00000a"/>
      <w:sz w:val="24"/>
      <w:szCs w:val="24"/>
      <w:lang w:val="ru-RU" w:eastAsia="zh-CN"/>
    </w:rPr>
  </w:style>
  <w:style w:type="character" w:styleId="784" w:customStyle="1">
    <w:name w:val="Internet Link"/>
    <w:basedOn w:val="746"/>
    <w:uiPriority w:val="99"/>
    <w:semiHidden/>
    <w:unhideWhenUsed/>
    <w:rPr>
      <w:color w:val="0000ff"/>
      <w:u w:val="single"/>
    </w:rPr>
  </w:style>
  <w:style w:type="character" w:styleId="785" w:customStyle="1">
    <w:name w:val="Текст выноски Знак"/>
    <w:basedOn w:val="746"/>
    <w:uiPriority w:val="99"/>
    <w:semiHidden/>
    <w:qFormat/>
    <w:rPr>
      <w:rFonts w:ascii="Segoe UI" w:hAnsi="Segoe UI" w:cs="Segoe UI"/>
      <w:sz w:val="18"/>
      <w:szCs w:val="18"/>
    </w:rPr>
  </w:style>
  <w:style w:type="character" w:styleId="786">
    <w:name w:val="annotation reference"/>
    <w:basedOn w:val="746"/>
    <w:uiPriority w:val="99"/>
    <w:semiHidden/>
    <w:unhideWhenUsed/>
    <w:qFormat/>
    <w:rPr>
      <w:sz w:val="16"/>
      <w:szCs w:val="16"/>
    </w:rPr>
  </w:style>
  <w:style w:type="character" w:styleId="787" w:customStyle="1">
    <w:name w:val="Текст примечания Знак"/>
    <w:basedOn w:val="746"/>
    <w:uiPriority w:val="99"/>
    <w:semiHidden/>
    <w:qFormat/>
    <w:rPr>
      <w:sz w:val="20"/>
      <w:szCs w:val="20"/>
    </w:rPr>
  </w:style>
  <w:style w:type="character" w:styleId="788" w:customStyle="1">
    <w:name w:val="Тема примечания Знак"/>
    <w:basedOn w:val="787"/>
    <w:uiPriority w:val="99"/>
    <w:semiHidden/>
    <w:qFormat/>
    <w:rPr>
      <w:b/>
      <w:bCs/>
      <w:sz w:val="20"/>
      <w:szCs w:val="20"/>
    </w:rPr>
  </w:style>
  <w:style w:type="character" w:styleId="789" w:customStyle="1">
    <w:name w:val="ListLabel 1"/>
    <w:qFormat/>
    <w:rPr>
      <w:rFonts w:ascii="Times New Roman" w:hAnsi="Times New Roman"/>
      <w:b/>
      <w:sz w:val="25"/>
    </w:rPr>
  </w:style>
  <w:style w:type="character" w:styleId="790" w:customStyle="1">
    <w:name w:val="ListLabel 2"/>
    <w:qFormat/>
    <w:rPr>
      <w:rFonts w:ascii="Times New Roman" w:hAnsi="Times New Roman"/>
      <w:b/>
      <w:sz w:val="25"/>
    </w:rPr>
  </w:style>
  <w:style w:type="character" w:styleId="791" w:customStyle="1">
    <w:name w:val="ListLabel 3"/>
    <w:qFormat/>
    <w:rPr>
      <w:rFonts w:cs="Times New Roman"/>
      <w:sz w:val="27"/>
    </w:rPr>
  </w:style>
  <w:style w:type="character" w:styleId="792" w:customStyle="1">
    <w:name w:val="ListLabel 4"/>
    <w:qFormat/>
    <w:rPr>
      <w:rFonts w:cs="Times New Roman"/>
      <w:b w:val="0"/>
      <w:sz w:val="24"/>
      <w:szCs w:val="24"/>
    </w:rPr>
  </w:style>
  <w:style w:type="character" w:styleId="793" w:customStyle="1">
    <w:name w:val="ListLabel 5"/>
    <w:qFormat/>
    <w:rPr>
      <w:sz w:val="27"/>
    </w:rPr>
  </w:style>
  <w:style w:type="character" w:styleId="794" w:customStyle="1">
    <w:name w:val="ListLabel 6"/>
    <w:qFormat/>
    <w:rPr>
      <w:rFonts w:cs="Times New Roman"/>
      <w:sz w:val="27"/>
    </w:rPr>
  </w:style>
  <w:style w:type="character" w:styleId="795" w:customStyle="1">
    <w:name w:val="ListLabel 7"/>
    <w:qFormat/>
    <w:rPr>
      <w:rFonts w:cs="Times New Roman"/>
      <w:sz w:val="27"/>
    </w:rPr>
  </w:style>
  <w:style w:type="character" w:styleId="796" w:customStyle="1">
    <w:name w:val="ListLabel 8"/>
    <w:qFormat/>
    <w:rPr>
      <w:rFonts w:cs="Times New Roman"/>
      <w:sz w:val="27"/>
    </w:rPr>
  </w:style>
  <w:style w:type="character" w:styleId="797" w:customStyle="1">
    <w:name w:val="ListLabel 9"/>
    <w:qFormat/>
    <w:rPr>
      <w:rFonts w:cs="Times New Roman"/>
      <w:sz w:val="27"/>
    </w:rPr>
  </w:style>
  <w:style w:type="character" w:styleId="798" w:customStyle="1">
    <w:name w:val="ListLabel 10"/>
    <w:qFormat/>
    <w:rPr>
      <w:rFonts w:cs="Times New Roman"/>
      <w:sz w:val="27"/>
    </w:rPr>
  </w:style>
  <w:style w:type="character" w:styleId="799" w:customStyle="1">
    <w:name w:val="ListLabel 11"/>
    <w:qFormat/>
    <w:rPr>
      <w:rFonts w:cs="Times New Roman"/>
      <w:sz w:val="27"/>
    </w:rPr>
  </w:style>
  <w:style w:type="character" w:styleId="800" w:customStyle="1">
    <w:name w:val="ListLabel 12"/>
    <w:qFormat/>
    <w:rPr>
      <w:rFonts w:ascii="Times New Roman" w:hAnsi="Times New Roman" w:cs="Symbol"/>
      <w:sz w:val="25"/>
    </w:rPr>
  </w:style>
  <w:style w:type="character" w:styleId="801" w:customStyle="1">
    <w:name w:val="ListLabel 13"/>
    <w:qFormat/>
    <w:rPr>
      <w:rFonts w:cs="Courier New"/>
    </w:rPr>
  </w:style>
  <w:style w:type="character" w:styleId="802" w:customStyle="1">
    <w:name w:val="ListLabel 14"/>
    <w:qFormat/>
    <w:rPr>
      <w:rFonts w:cs="Wingdings"/>
    </w:rPr>
  </w:style>
  <w:style w:type="character" w:styleId="803" w:customStyle="1">
    <w:name w:val="ListLabel 15"/>
    <w:qFormat/>
    <w:rPr>
      <w:rFonts w:cs="Symbol"/>
    </w:rPr>
  </w:style>
  <w:style w:type="character" w:styleId="804" w:customStyle="1">
    <w:name w:val="ListLabel 16"/>
    <w:qFormat/>
    <w:rPr>
      <w:rFonts w:cs="Courier New"/>
    </w:rPr>
  </w:style>
  <w:style w:type="character" w:styleId="805" w:customStyle="1">
    <w:name w:val="ListLabel 17"/>
    <w:qFormat/>
    <w:rPr>
      <w:rFonts w:cs="Wingdings"/>
    </w:rPr>
  </w:style>
  <w:style w:type="character" w:styleId="806" w:customStyle="1">
    <w:name w:val="ListLabel 18"/>
    <w:qFormat/>
    <w:rPr>
      <w:rFonts w:cs="Symbol"/>
    </w:rPr>
  </w:style>
  <w:style w:type="character" w:styleId="807" w:customStyle="1">
    <w:name w:val="ListLabel 19"/>
    <w:qFormat/>
    <w:rPr>
      <w:rFonts w:cs="Courier New"/>
    </w:rPr>
  </w:style>
  <w:style w:type="character" w:styleId="808" w:customStyle="1">
    <w:name w:val="ListLabel 20"/>
    <w:qFormat/>
    <w:rPr>
      <w:rFonts w:cs="Wingdings"/>
    </w:rPr>
  </w:style>
  <w:style w:type="character" w:styleId="809" w:customStyle="1">
    <w:name w:val="ListLabel 21"/>
    <w:qFormat/>
    <w:rPr>
      <w:i w:val="0"/>
      <w:iCs/>
    </w:rPr>
  </w:style>
  <w:style w:type="character" w:styleId="810" w:customStyle="1">
    <w:name w:val="ListLabel 22"/>
    <w:qFormat/>
    <w:rPr>
      <w:rFonts w:cs="Times New Roman"/>
      <w:b/>
    </w:rPr>
  </w:style>
  <w:style w:type="character" w:styleId="811" w:customStyle="1">
    <w:name w:val="ListLabel 23"/>
    <w:qFormat/>
    <w:rPr>
      <w:rFonts w:cs="Courier New"/>
    </w:rPr>
  </w:style>
  <w:style w:type="character" w:styleId="812" w:customStyle="1">
    <w:name w:val="ListLabel 24"/>
    <w:qFormat/>
    <w:rPr>
      <w:rFonts w:cs="Wingdings"/>
    </w:rPr>
  </w:style>
  <w:style w:type="character" w:styleId="813" w:customStyle="1">
    <w:name w:val="ListLabel 25"/>
    <w:qFormat/>
    <w:rPr>
      <w:rFonts w:cs="Symbol"/>
    </w:rPr>
  </w:style>
  <w:style w:type="character" w:styleId="814" w:customStyle="1">
    <w:name w:val="ListLabel 26"/>
    <w:qFormat/>
    <w:rPr>
      <w:rFonts w:cs="Courier New"/>
    </w:rPr>
  </w:style>
  <w:style w:type="character" w:styleId="815" w:customStyle="1">
    <w:name w:val="ListLabel 27"/>
    <w:qFormat/>
    <w:rPr>
      <w:rFonts w:cs="Wingdings"/>
    </w:rPr>
  </w:style>
  <w:style w:type="character" w:styleId="816" w:customStyle="1">
    <w:name w:val="ListLabel 28"/>
    <w:qFormat/>
    <w:rPr>
      <w:rFonts w:cs="Symbol"/>
    </w:rPr>
  </w:style>
  <w:style w:type="character" w:styleId="817" w:customStyle="1">
    <w:name w:val="ListLabel 29"/>
    <w:qFormat/>
    <w:rPr>
      <w:rFonts w:cs="Courier New"/>
    </w:rPr>
  </w:style>
  <w:style w:type="character" w:styleId="818" w:customStyle="1">
    <w:name w:val="ListLabel 30"/>
    <w:qFormat/>
    <w:rPr>
      <w:rFonts w:cs="Wingdings"/>
    </w:rPr>
  </w:style>
  <w:style w:type="character" w:styleId="819" w:customStyle="1">
    <w:name w:val="ListLabel 31"/>
    <w:qFormat/>
    <w:rPr>
      <w:rFonts w:ascii="Times New Roman" w:hAnsi="Times New Roman" w:cs="Symbol"/>
      <w:sz w:val="24"/>
    </w:rPr>
  </w:style>
  <w:style w:type="character" w:styleId="820" w:customStyle="1">
    <w:name w:val="ListLabel 32"/>
    <w:qFormat/>
    <w:rPr>
      <w:rFonts w:cs="Courier New"/>
    </w:rPr>
  </w:style>
  <w:style w:type="character" w:styleId="821" w:customStyle="1">
    <w:name w:val="ListLabel 33"/>
    <w:qFormat/>
    <w:rPr>
      <w:rFonts w:cs="Wingdings"/>
    </w:rPr>
  </w:style>
  <w:style w:type="character" w:styleId="822" w:customStyle="1">
    <w:name w:val="ListLabel 34"/>
    <w:qFormat/>
    <w:rPr>
      <w:rFonts w:cs="Symbol"/>
    </w:rPr>
  </w:style>
  <w:style w:type="character" w:styleId="823" w:customStyle="1">
    <w:name w:val="ListLabel 35"/>
    <w:qFormat/>
    <w:rPr>
      <w:rFonts w:cs="Courier New"/>
    </w:rPr>
  </w:style>
  <w:style w:type="character" w:styleId="824" w:customStyle="1">
    <w:name w:val="ListLabel 36"/>
    <w:qFormat/>
    <w:rPr>
      <w:rFonts w:cs="Wingdings"/>
    </w:rPr>
  </w:style>
  <w:style w:type="character" w:styleId="825" w:customStyle="1">
    <w:name w:val="ListLabel 37"/>
    <w:qFormat/>
    <w:rPr>
      <w:rFonts w:cs="Symbol"/>
    </w:rPr>
  </w:style>
  <w:style w:type="character" w:styleId="826" w:customStyle="1">
    <w:name w:val="ListLabel 38"/>
    <w:qFormat/>
    <w:rPr>
      <w:rFonts w:cs="Courier New"/>
    </w:rPr>
  </w:style>
  <w:style w:type="character" w:styleId="827" w:customStyle="1">
    <w:name w:val="ListLabel 39"/>
    <w:qFormat/>
    <w:rPr>
      <w:rFonts w:cs="Wingdings"/>
    </w:rPr>
  </w:style>
  <w:style w:type="character" w:styleId="828" w:customStyle="1">
    <w:name w:val="ListLabel 40"/>
    <w:qFormat/>
    <w:rPr>
      <w:sz w:val="20"/>
    </w:rPr>
  </w:style>
  <w:style w:type="character" w:styleId="829" w:customStyle="1">
    <w:name w:val="ListLabel 41"/>
    <w:qFormat/>
    <w:rPr>
      <w:sz w:val="20"/>
    </w:rPr>
  </w:style>
  <w:style w:type="character" w:styleId="830" w:customStyle="1">
    <w:name w:val="ListLabel 42"/>
    <w:qFormat/>
    <w:rPr>
      <w:sz w:val="20"/>
    </w:rPr>
  </w:style>
  <w:style w:type="character" w:styleId="831" w:customStyle="1">
    <w:name w:val="ListLabel 43"/>
    <w:qFormat/>
    <w:rPr>
      <w:sz w:val="20"/>
    </w:rPr>
  </w:style>
  <w:style w:type="character" w:styleId="832" w:customStyle="1">
    <w:name w:val="ListLabel 44"/>
    <w:qFormat/>
    <w:rPr>
      <w:sz w:val="20"/>
    </w:rPr>
  </w:style>
  <w:style w:type="character" w:styleId="833" w:customStyle="1">
    <w:name w:val="ListLabel 45"/>
    <w:qFormat/>
    <w:rPr>
      <w:sz w:val="20"/>
    </w:rPr>
  </w:style>
  <w:style w:type="character" w:styleId="834" w:customStyle="1">
    <w:name w:val="ListLabel 46"/>
    <w:qFormat/>
    <w:rPr>
      <w:sz w:val="20"/>
    </w:rPr>
  </w:style>
  <w:style w:type="character" w:styleId="835" w:customStyle="1">
    <w:name w:val="ListLabel 47"/>
    <w:qFormat/>
    <w:rPr>
      <w:sz w:val="20"/>
    </w:rPr>
  </w:style>
  <w:style w:type="character" w:styleId="836" w:customStyle="1">
    <w:name w:val="ListLabel 48"/>
    <w:qFormat/>
    <w:rPr>
      <w:sz w:val="20"/>
    </w:rPr>
  </w:style>
  <w:style w:type="character" w:styleId="837" w:customStyle="1">
    <w:name w:val="ListLabel 49"/>
    <w:qFormat/>
    <w:rPr>
      <w:rFonts w:cs="Courier New"/>
    </w:rPr>
  </w:style>
  <w:style w:type="character" w:styleId="838" w:customStyle="1">
    <w:name w:val="ListLabel 50"/>
    <w:qFormat/>
    <w:rPr>
      <w:rFonts w:cs="Courier New"/>
    </w:rPr>
  </w:style>
  <w:style w:type="character" w:styleId="839" w:customStyle="1">
    <w:name w:val="ListLabel 51"/>
    <w:qFormat/>
    <w:rPr>
      <w:rFonts w:cs="Courier New"/>
    </w:rPr>
  </w:style>
  <w:style w:type="character" w:styleId="840" w:customStyle="1">
    <w:name w:val="ListLabel 52"/>
    <w:qFormat/>
    <w:rPr>
      <w:rFonts w:cs="Times New Roman"/>
      <w:sz w:val="25"/>
      <w:szCs w:val="25"/>
    </w:rPr>
  </w:style>
  <w:style w:type="character" w:styleId="841" w:customStyle="1">
    <w:name w:val="ListLabel 53"/>
    <w:qFormat/>
    <w:rPr>
      <w:rFonts w:eastAsia="Arial Unicode MS" w:cs="Times New Roman"/>
      <w:bCs/>
      <w:color w:val="0000ff"/>
      <w:sz w:val="25"/>
      <w:szCs w:val="25"/>
      <w:u w:val="single"/>
      <w:lang w:val="en-US" w:eastAsia="ru-RU"/>
    </w:rPr>
  </w:style>
  <w:style w:type="character" w:styleId="842" w:customStyle="1">
    <w:name w:val="Основной текст Знак1"/>
    <w:basedOn w:val="746"/>
    <w:qFormat/>
    <w:rPr>
      <w:rFonts w:cs="Times New Roman"/>
      <w:color w:val="00000a"/>
      <w:lang w:val="ru-RU"/>
    </w:rPr>
  </w:style>
  <w:style w:type="character" w:styleId="843" w:customStyle="1">
    <w:name w:val="Красная строка Знак"/>
    <w:basedOn w:val="842"/>
    <w:uiPriority w:val="99"/>
    <w:semiHidden/>
    <w:qFormat/>
    <w:rPr>
      <w:rFonts w:cs="Times New Roman"/>
      <w:color w:val="00000a"/>
      <w:lang w:val="ru-RU"/>
    </w:rPr>
  </w:style>
  <w:style w:type="character" w:styleId="844" w:customStyle="1">
    <w:name w:val="Основний текст Знак"/>
    <w:basedOn w:val="746"/>
    <w:link w:val="905"/>
    <w:uiPriority w:val="1"/>
    <w:qFormat/>
    <w:rPr>
      <w:rFonts w:asciiTheme="majorHAnsi" w:hAnsiTheme="majorHAnsi" w:eastAsiaTheme="majorEastAsia" w:cstheme="majorBidi"/>
      <w:color w:val="2e74b5" w:themeColor="accent1" w:themeShade="BF"/>
      <w:sz w:val="32"/>
      <w:szCs w:val="32"/>
    </w:rPr>
  </w:style>
  <w:style w:type="character" w:styleId="845" w:customStyle="1">
    <w:name w:val="Верхний колонтитул Знак"/>
    <w:basedOn w:val="746"/>
    <w:uiPriority w:val="99"/>
    <w:qFormat/>
  </w:style>
  <w:style w:type="character" w:styleId="846" w:customStyle="1">
    <w:name w:val="Нижний колонтитул Знак"/>
    <w:basedOn w:val="746"/>
    <w:uiPriority w:val="99"/>
    <w:qFormat/>
  </w:style>
  <w:style w:type="character" w:styleId="847" w:customStyle="1">
    <w:name w:val="Обычный (Интернет) Знак"/>
    <w:uiPriority w:val="99"/>
    <w:qFormat/>
    <w:rPr>
      <w:rFonts w:ascii="Cambria" w:hAnsi="Cambria"/>
    </w:rPr>
  </w:style>
  <w:style w:type="character" w:styleId="848" w:customStyle="1">
    <w:name w:val="Основной текст (3)_"/>
    <w:basedOn w:val="746"/>
    <w:link w:val="917"/>
    <w:qFormat/>
    <w:rPr>
      <w:rFonts w:eastAsia="Times New Roman" w:cs="Times New Roman"/>
      <w:shd w:val="clear" w:color="auto" w:fill="ffffff"/>
    </w:rPr>
  </w:style>
  <w:style w:type="character" w:styleId="849" w:customStyle="1">
    <w:name w:val="ListLabel 54"/>
    <w:qFormat/>
    <w:rPr>
      <w:rFonts w:ascii="Times New Roman" w:hAnsi="Times New Roman"/>
      <w:b/>
      <w:sz w:val="24"/>
    </w:rPr>
  </w:style>
  <w:style w:type="character" w:styleId="850" w:customStyle="1">
    <w:name w:val="ListLabel 55"/>
    <w:qFormat/>
    <w:rPr>
      <w:rFonts w:ascii="Times New Roman" w:hAnsi="Times New Roman"/>
      <w:b/>
      <w:sz w:val="24"/>
    </w:rPr>
  </w:style>
  <w:style w:type="character" w:styleId="851" w:customStyle="1">
    <w:name w:val="ListLabel 56"/>
    <w:qFormat/>
    <w:rPr>
      <w:rFonts w:ascii="Times New Roman" w:hAnsi="Times New Roman"/>
      <w:b/>
      <w:sz w:val="24"/>
    </w:rPr>
  </w:style>
  <w:style w:type="character" w:styleId="852" w:customStyle="1">
    <w:name w:val="ListLabel 57"/>
    <w:qFormat/>
    <w:rPr>
      <w:rFonts w:cs="Symbol"/>
      <w:sz w:val="25"/>
    </w:rPr>
  </w:style>
  <w:style w:type="character" w:styleId="853" w:customStyle="1">
    <w:name w:val="ListLabel 58"/>
    <w:qFormat/>
    <w:rPr>
      <w:rFonts w:cs="Courier New"/>
    </w:rPr>
  </w:style>
  <w:style w:type="character" w:styleId="854" w:customStyle="1">
    <w:name w:val="ListLabel 59"/>
    <w:qFormat/>
    <w:rPr>
      <w:rFonts w:cs="Wingdings"/>
    </w:rPr>
  </w:style>
  <w:style w:type="character" w:styleId="855" w:customStyle="1">
    <w:name w:val="ListLabel 60"/>
    <w:qFormat/>
    <w:rPr>
      <w:rFonts w:cs="Symbol"/>
    </w:rPr>
  </w:style>
  <w:style w:type="character" w:styleId="856" w:customStyle="1">
    <w:name w:val="ListLabel 61"/>
    <w:qFormat/>
    <w:rPr>
      <w:rFonts w:cs="Courier New"/>
    </w:rPr>
  </w:style>
  <w:style w:type="character" w:styleId="857" w:customStyle="1">
    <w:name w:val="ListLabel 62"/>
    <w:qFormat/>
    <w:rPr>
      <w:rFonts w:cs="Wingdings"/>
    </w:rPr>
  </w:style>
  <w:style w:type="character" w:styleId="858" w:customStyle="1">
    <w:name w:val="ListLabel 63"/>
    <w:qFormat/>
    <w:rPr>
      <w:rFonts w:cs="Symbol"/>
    </w:rPr>
  </w:style>
  <w:style w:type="character" w:styleId="859" w:customStyle="1">
    <w:name w:val="ListLabel 64"/>
    <w:qFormat/>
    <w:rPr>
      <w:rFonts w:cs="Courier New"/>
    </w:rPr>
  </w:style>
  <w:style w:type="character" w:styleId="860" w:customStyle="1">
    <w:name w:val="ListLabel 65"/>
    <w:qFormat/>
    <w:rPr>
      <w:rFonts w:cs="Wingdings"/>
    </w:rPr>
  </w:style>
  <w:style w:type="character" w:styleId="861" w:customStyle="1">
    <w:name w:val="ListLabel 66"/>
    <w:qFormat/>
    <w:rPr>
      <w:b/>
    </w:rPr>
  </w:style>
  <w:style w:type="character" w:styleId="862" w:customStyle="1">
    <w:name w:val="ListLabel 67"/>
    <w:qFormat/>
    <w:rPr>
      <w:rFonts w:cs="Symbol"/>
      <w:sz w:val="24"/>
    </w:rPr>
  </w:style>
  <w:style w:type="character" w:styleId="863" w:customStyle="1">
    <w:name w:val="ListLabel 68"/>
    <w:qFormat/>
    <w:rPr>
      <w:rFonts w:cs="Courier New"/>
    </w:rPr>
  </w:style>
  <w:style w:type="character" w:styleId="864" w:customStyle="1">
    <w:name w:val="ListLabel 69"/>
    <w:qFormat/>
    <w:rPr>
      <w:rFonts w:cs="Wingdings"/>
    </w:rPr>
  </w:style>
  <w:style w:type="character" w:styleId="865" w:customStyle="1">
    <w:name w:val="ListLabel 70"/>
    <w:qFormat/>
    <w:rPr>
      <w:rFonts w:cs="Symbol"/>
    </w:rPr>
  </w:style>
  <w:style w:type="character" w:styleId="866" w:customStyle="1">
    <w:name w:val="ListLabel 71"/>
    <w:qFormat/>
    <w:rPr>
      <w:rFonts w:cs="Courier New"/>
    </w:rPr>
  </w:style>
  <w:style w:type="character" w:styleId="867" w:customStyle="1">
    <w:name w:val="ListLabel 72"/>
    <w:qFormat/>
    <w:rPr>
      <w:rFonts w:cs="Wingdings"/>
    </w:rPr>
  </w:style>
  <w:style w:type="character" w:styleId="868" w:customStyle="1">
    <w:name w:val="ListLabel 73"/>
    <w:qFormat/>
    <w:rPr>
      <w:rFonts w:cs="Symbol"/>
    </w:rPr>
  </w:style>
  <w:style w:type="character" w:styleId="869" w:customStyle="1">
    <w:name w:val="ListLabel 74"/>
    <w:qFormat/>
    <w:rPr>
      <w:rFonts w:cs="Courier New"/>
    </w:rPr>
  </w:style>
  <w:style w:type="character" w:styleId="870" w:customStyle="1">
    <w:name w:val="ListLabel 75"/>
    <w:qFormat/>
    <w:rPr>
      <w:rFonts w:cs="Wingdings"/>
    </w:rPr>
  </w:style>
  <w:style w:type="character" w:styleId="871" w:customStyle="1">
    <w:name w:val="ListLabel 76"/>
    <w:qFormat/>
    <w:rPr>
      <w:rFonts w:cs="Courier New"/>
    </w:rPr>
  </w:style>
  <w:style w:type="character" w:styleId="872" w:customStyle="1">
    <w:name w:val="ListLabel 77"/>
    <w:qFormat/>
    <w:rPr>
      <w:rFonts w:cs="Wingdings"/>
    </w:rPr>
  </w:style>
  <w:style w:type="character" w:styleId="873" w:customStyle="1">
    <w:name w:val="ListLabel 78"/>
    <w:qFormat/>
    <w:rPr>
      <w:rFonts w:cs="Symbol"/>
    </w:rPr>
  </w:style>
  <w:style w:type="character" w:styleId="874" w:customStyle="1">
    <w:name w:val="ListLabel 79"/>
    <w:qFormat/>
    <w:rPr>
      <w:rFonts w:cs="Courier New"/>
    </w:rPr>
  </w:style>
  <w:style w:type="character" w:styleId="875" w:customStyle="1">
    <w:name w:val="ListLabel 80"/>
    <w:qFormat/>
    <w:rPr>
      <w:rFonts w:cs="Wingdings"/>
    </w:rPr>
  </w:style>
  <w:style w:type="character" w:styleId="876" w:customStyle="1">
    <w:name w:val="ListLabel 81"/>
    <w:qFormat/>
    <w:rPr>
      <w:rFonts w:cs="Symbol"/>
    </w:rPr>
  </w:style>
  <w:style w:type="character" w:styleId="877" w:customStyle="1">
    <w:name w:val="ListLabel 82"/>
    <w:qFormat/>
    <w:rPr>
      <w:rFonts w:cs="Courier New"/>
    </w:rPr>
  </w:style>
  <w:style w:type="character" w:styleId="878" w:customStyle="1">
    <w:name w:val="ListLabel 83"/>
    <w:qFormat/>
    <w:rPr>
      <w:rFonts w:cs="Wingdings"/>
    </w:rPr>
  </w:style>
  <w:style w:type="character" w:styleId="879" w:customStyle="1">
    <w:name w:val="ListLabel 84"/>
    <w:qFormat/>
    <w:rPr>
      <w:rFonts w:ascii="Times New Roman" w:hAnsi="Times New Roman" w:cs="Symbol"/>
      <w:sz w:val="24"/>
    </w:rPr>
  </w:style>
  <w:style w:type="character" w:styleId="880" w:customStyle="1">
    <w:name w:val="ListLabel 85"/>
    <w:qFormat/>
    <w:rPr>
      <w:rFonts w:cs="Courier New"/>
    </w:rPr>
  </w:style>
  <w:style w:type="character" w:styleId="881" w:customStyle="1">
    <w:name w:val="ListLabel 86"/>
    <w:qFormat/>
    <w:rPr>
      <w:rFonts w:cs="Wingdings"/>
    </w:rPr>
  </w:style>
  <w:style w:type="character" w:styleId="882" w:customStyle="1">
    <w:name w:val="ListLabel 87"/>
    <w:qFormat/>
    <w:rPr>
      <w:rFonts w:cs="Symbol"/>
    </w:rPr>
  </w:style>
  <w:style w:type="character" w:styleId="883" w:customStyle="1">
    <w:name w:val="ListLabel 88"/>
    <w:qFormat/>
    <w:rPr>
      <w:rFonts w:cs="Courier New"/>
    </w:rPr>
  </w:style>
  <w:style w:type="character" w:styleId="884" w:customStyle="1">
    <w:name w:val="ListLabel 89"/>
    <w:qFormat/>
    <w:rPr>
      <w:rFonts w:cs="Wingdings"/>
    </w:rPr>
  </w:style>
  <w:style w:type="character" w:styleId="885" w:customStyle="1">
    <w:name w:val="ListLabel 90"/>
    <w:qFormat/>
    <w:rPr>
      <w:rFonts w:cs="Symbol"/>
    </w:rPr>
  </w:style>
  <w:style w:type="character" w:styleId="886" w:customStyle="1">
    <w:name w:val="ListLabel 91"/>
    <w:qFormat/>
    <w:rPr>
      <w:rFonts w:cs="Courier New"/>
    </w:rPr>
  </w:style>
  <w:style w:type="character" w:styleId="887" w:customStyle="1">
    <w:name w:val="ListLabel 92"/>
    <w:qFormat/>
    <w:rPr>
      <w:rFonts w:cs="Wingdings"/>
    </w:rPr>
  </w:style>
  <w:style w:type="character" w:styleId="888" w:customStyle="1">
    <w:name w:val="ListLabel 93"/>
    <w:qFormat/>
    <w:rPr>
      <w:b/>
    </w:rPr>
  </w:style>
  <w:style w:type="character" w:styleId="889" w:customStyle="1">
    <w:name w:val="ListLabel 94"/>
    <w:qFormat/>
    <w:rPr>
      <w:b w:val="0"/>
    </w:rPr>
  </w:style>
  <w:style w:type="character" w:styleId="890" w:customStyle="1">
    <w:name w:val="ListLabel 95"/>
    <w:qFormat/>
    <w:rPr>
      <w:rFonts w:cs="Times New Roman"/>
      <w:sz w:val="27"/>
    </w:rPr>
  </w:style>
  <w:style w:type="character" w:styleId="891" w:customStyle="1">
    <w:name w:val="ListLabel 96"/>
    <w:qFormat/>
    <w:rPr>
      <w:rFonts w:cs="Times New Roman"/>
      <w:b w:val="0"/>
      <w:sz w:val="28"/>
      <w:szCs w:val="28"/>
    </w:rPr>
  </w:style>
  <w:style w:type="character" w:styleId="892" w:customStyle="1">
    <w:name w:val="ListLabel 97"/>
    <w:qFormat/>
    <w:rPr>
      <w:sz w:val="27"/>
    </w:rPr>
  </w:style>
  <w:style w:type="character" w:styleId="893" w:customStyle="1">
    <w:name w:val="ListLabel 98"/>
    <w:qFormat/>
    <w:rPr>
      <w:rFonts w:cs="Times New Roman"/>
      <w:sz w:val="27"/>
    </w:rPr>
  </w:style>
  <w:style w:type="character" w:styleId="894" w:customStyle="1">
    <w:name w:val="ListLabel 99"/>
    <w:qFormat/>
    <w:rPr>
      <w:rFonts w:cs="Times New Roman"/>
      <w:sz w:val="27"/>
    </w:rPr>
  </w:style>
  <w:style w:type="character" w:styleId="895" w:customStyle="1">
    <w:name w:val="ListLabel 100"/>
    <w:qFormat/>
    <w:rPr>
      <w:rFonts w:cs="Times New Roman"/>
      <w:sz w:val="27"/>
    </w:rPr>
  </w:style>
  <w:style w:type="character" w:styleId="896" w:customStyle="1">
    <w:name w:val="ListLabel 101"/>
    <w:qFormat/>
    <w:rPr>
      <w:rFonts w:cs="Times New Roman"/>
      <w:sz w:val="27"/>
    </w:rPr>
  </w:style>
  <w:style w:type="character" w:styleId="897" w:customStyle="1">
    <w:name w:val="ListLabel 102"/>
    <w:qFormat/>
    <w:rPr>
      <w:rFonts w:cs="Times New Roman"/>
      <w:sz w:val="27"/>
    </w:rPr>
  </w:style>
  <w:style w:type="character" w:styleId="898" w:customStyle="1">
    <w:name w:val="ListLabel 103"/>
    <w:qFormat/>
    <w:rPr>
      <w:rFonts w:cs="Times New Roman"/>
      <w:sz w:val="27"/>
    </w:rPr>
  </w:style>
  <w:style w:type="character" w:styleId="899" w:customStyle="1">
    <w:name w:val="ListLabel 104"/>
    <w:qFormat/>
    <w:rPr>
      <w:rFonts w:cs="Courier New"/>
    </w:rPr>
  </w:style>
  <w:style w:type="character" w:styleId="900" w:customStyle="1">
    <w:name w:val="ListLabel 105"/>
    <w:qFormat/>
    <w:rPr>
      <w:rFonts w:cs="Courier New"/>
    </w:rPr>
  </w:style>
  <w:style w:type="character" w:styleId="901" w:customStyle="1">
    <w:name w:val="ListLabel 106"/>
    <w:qFormat/>
    <w:rPr>
      <w:rFonts w:cs="Courier New"/>
    </w:rPr>
  </w:style>
  <w:style w:type="character" w:styleId="902" w:customStyle="1">
    <w:name w:val="ListLabel 107"/>
    <w:qFormat/>
    <w:rPr>
      <w:rFonts w:ascii="Times New Roman" w:hAnsi="Times New Roman" w:eastAsia="Calibri" w:cs="Times New Roman"/>
      <w:sz w:val="24"/>
      <w:szCs w:val="24"/>
      <w:shd w:val="clear" w:color="auto" w:fill="ffffff"/>
      <w:lang w:eastAsia="ru-RU"/>
    </w:rPr>
  </w:style>
  <w:style w:type="character" w:styleId="903" w:customStyle="1">
    <w:name w:val="ListLabel 108"/>
    <w:qFormat/>
    <w:rPr>
      <w:rFonts w:ascii="Times New Roman" w:hAnsi="Times New Roman" w:eastAsia="Calibri" w:cs="Times New Roman"/>
      <w:sz w:val="24"/>
      <w:szCs w:val="24"/>
      <w:lang w:eastAsia="ru-RU"/>
    </w:rPr>
  </w:style>
  <w:style w:type="paragraph" w:styleId="904" w:customStyle="1">
    <w:name w:val="Heading"/>
    <w:basedOn w:val="743"/>
    <w:next w:val="905"/>
    <w:qFormat/>
    <w:pPr>
      <w:keepNext/>
      <w:spacing w:before="240" w:after="120"/>
    </w:pPr>
    <w:rPr>
      <w:rFonts w:ascii="Liberation Sans" w:hAnsi="Liberation Sans" w:eastAsia="Droid Sans Fallback" w:cs="FreeSans"/>
      <w:sz w:val="28"/>
      <w:szCs w:val="28"/>
    </w:rPr>
  </w:style>
  <w:style w:type="paragraph" w:styleId="905">
    <w:name w:val="Body Text"/>
    <w:basedOn w:val="743"/>
    <w:link w:val="844"/>
    <w:uiPriority w:val="1"/>
    <w:qFormat/>
    <w:pPr>
      <w:spacing w:after="140" w:line="288" w:lineRule="auto"/>
    </w:pPr>
    <w:rPr>
      <w:rFonts w:asciiTheme="majorHAnsi" w:hAnsiTheme="majorHAnsi" w:eastAsiaTheme="majorEastAsia" w:cstheme="majorBidi"/>
      <w:color w:val="2e74b5" w:themeColor="accent1" w:themeShade="BF"/>
      <w:sz w:val="32"/>
      <w:szCs w:val="32"/>
      <w:lang w:val="ru-RU"/>
    </w:rPr>
  </w:style>
  <w:style w:type="character" w:styleId="906" w:customStyle="1">
    <w:name w:val="Основний текст Знак1"/>
    <w:basedOn w:val="746"/>
    <w:uiPriority w:val="99"/>
    <w:semiHidden/>
    <w:rPr>
      <w:lang w:val="uk-UA"/>
    </w:rPr>
  </w:style>
  <w:style w:type="paragraph" w:styleId="907">
    <w:name w:val="List"/>
    <w:basedOn w:val="905"/>
    <w:rPr>
      <w:rFonts w:cs="FreeSans"/>
    </w:rPr>
  </w:style>
  <w:style w:type="paragraph" w:styleId="908">
    <w:name w:val="Caption"/>
    <w:basedOn w:val="743"/>
    <w:qFormat/>
    <w:pPr>
      <w:spacing w:before="120" w:after="120"/>
      <w:suppressLineNumbers/>
    </w:pPr>
    <w:rPr>
      <w:rFonts w:cs="FreeSans"/>
      <w:i/>
      <w:iCs/>
      <w:sz w:val="24"/>
      <w:szCs w:val="24"/>
    </w:rPr>
  </w:style>
  <w:style w:type="paragraph" w:styleId="909" w:customStyle="1">
    <w:name w:val="Index"/>
    <w:basedOn w:val="743"/>
    <w:qFormat/>
    <w:pPr>
      <w:suppressLineNumbers/>
    </w:pPr>
    <w:rPr>
      <w:rFonts w:cs="FreeSans"/>
    </w:rPr>
  </w:style>
  <w:style w:type="paragraph" w:styleId="910" w:customStyle="1">
    <w:name w:val="Обычный1"/>
    <w:qFormat/>
    <w:pPr>
      <w:spacing w:after="0" w:line="240" w:lineRule="auto"/>
    </w:pPr>
    <w:rPr>
      <w:rFonts w:ascii="Times New Roman" w:hAnsi="Times New Roman" w:eastAsia="Times New Roman" w:cs="Liberation Serif"/>
      <w:sz w:val="24"/>
      <w:szCs w:val="24"/>
      <w:lang w:val="uk-UA" w:eastAsia="zh-CN"/>
    </w:rPr>
  </w:style>
  <w:style w:type="paragraph" w:styleId="911">
    <w:name w:val="annotation subject"/>
    <w:basedOn w:val="778"/>
    <w:next w:val="778"/>
    <w:link w:val="912"/>
    <w:uiPriority w:val="99"/>
    <w:semiHidden/>
    <w:unhideWhenUsed/>
    <w:qFormat/>
    <w:pPr>
      <w:spacing w:after="160"/>
      <w:widowControl/>
    </w:pPr>
    <w:rPr>
      <w:rFonts w:asciiTheme="minorHAnsi" w:hAnsiTheme="minorHAnsi" w:eastAsiaTheme="minorHAnsi" w:cstheme="minorBidi"/>
      <w:b/>
      <w:bCs/>
      <w:lang w:val="uk-UA" w:eastAsia="en-US"/>
    </w:rPr>
  </w:style>
  <w:style w:type="character" w:styleId="912" w:customStyle="1">
    <w:name w:val="Тема примітки Знак"/>
    <w:basedOn w:val="779"/>
    <w:link w:val="911"/>
    <w:uiPriority w:val="99"/>
    <w:semiHidden/>
    <w:rPr>
      <w:rFonts w:ascii="Times New Roman" w:hAnsi="Times New Roman" w:eastAsia="Times New Roman" w:cs="Times New Roman"/>
      <w:b/>
      <w:bCs/>
      <w:sz w:val="20"/>
      <w:szCs w:val="20"/>
      <w:lang w:val="uk-UA" w:eastAsia="ru-RU"/>
    </w:rPr>
  </w:style>
  <w:style w:type="paragraph" w:styleId="913">
    <w:name w:val="Body Text Indent"/>
    <w:basedOn w:val="905"/>
    <w:link w:val="914"/>
    <w:uiPriority w:val="99"/>
    <w:semiHidden/>
    <w:unhideWhenUsed/>
    <w:qFormat/>
    <w:pPr>
      <w:ind w:firstLine="360"/>
      <w:spacing w:after="160" w:line="259" w:lineRule="auto"/>
    </w:pPr>
    <w:rPr>
      <w:rFonts w:cstheme="minorBidi"/>
      <w:color w:val="auto"/>
    </w:rPr>
  </w:style>
  <w:style w:type="character" w:styleId="914" w:customStyle="1">
    <w:name w:val="Основний текст з відступом Знак"/>
    <w:basedOn w:val="746"/>
    <w:link w:val="913"/>
    <w:uiPriority w:val="99"/>
    <w:semiHidden/>
    <w:rPr>
      <w:rFonts w:asciiTheme="majorHAnsi" w:hAnsiTheme="majorHAnsi" w:eastAsiaTheme="majorEastAsia"/>
      <w:sz w:val="32"/>
      <w:szCs w:val="32"/>
    </w:rPr>
  </w:style>
  <w:style w:type="paragraph" w:styleId="915">
    <w:name w:val="Header"/>
    <w:basedOn w:val="743"/>
    <w:link w:val="916"/>
    <w:uiPriority w:val="99"/>
    <w:unhideWhenUsed/>
    <w:pPr>
      <w:spacing w:after="0" w:line="240" w:lineRule="auto"/>
      <w:tabs>
        <w:tab w:val="center" w:pos="4819" w:leader="none"/>
        <w:tab w:val="right" w:pos="9639" w:leader="none"/>
      </w:tabs>
    </w:pPr>
  </w:style>
  <w:style w:type="character" w:styleId="916" w:customStyle="1">
    <w:name w:val="Верхній колонтитул Знак"/>
    <w:basedOn w:val="746"/>
    <w:link w:val="915"/>
    <w:uiPriority w:val="99"/>
    <w:rPr>
      <w:lang w:val="uk-UA"/>
    </w:rPr>
  </w:style>
  <w:style w:type="paragraph" w:styleId="917" w:customStyle="1">
    <w:name w:val="Основной текст (3)"/>
    <w:basedOn w:val="743"/>
    <w:link w:val="848"/>
    <w:qFormat/>
    <w:pPr>
      <w:ind w:hanging="440"/>
      <w:jc w:val="center"/>
      <w:spacing w:after="240" w:line="281" w:lineRule="exact"/>
      <w:shd w:val="clear" w:color="auto" w:fill="ffffff"/>
      <w:widowControl w:val="off"/>
    </w:pPr>
    <w:rPr>
      <w:rFonts w:eastAsia="Times New Roman" w:cs="Times New Roman"/>
      <w:lang w:val="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zakon.rada.gov.ua/laws/show/z0093-98" TargetMode="External"/><Relationship Id="rId12" Type="http://schemas.openxmlformats.org/officeDocument/2006/relationships/hyperlink" Target="https://zakon.rada.gov.ua/laws/show/z0252-1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151</cp:revision>
  <dcterms:created xsi:type="dcterms:W3CDTF">2022-11-01T12:47:00Z</dcterms:created>
  <dcterms:modified xsi:type="dcterms:W3CDTF">2024-01-02T11:48:33Z</dcterms:modified>
</cp:coreProperties>
</file>