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плоскопанельних дисплеїв в комплекті зі встановленням за ДК 021:2015: 30230000-0 Комп’ютерне обладнання (30231310-3) Плоскопанельні дисплеї</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011523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плоскопанельних дисплеїв в комплекті зі встановленням за ДК 021:2015: 30230000-0 Комп’ютерне обладнання (30231310-3) Плоскопанельні дисплеї</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8"/>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40"/>
              <w:jc w:val="center"/>
              <w:rPr>
                <w:b/>
                <w:bCs/>
              </w:rPr>
            </w:pPr>
            <w:r>
              <w:rPr>
                <w:b/>
                <w:bCs/>
              </w:rPr>
              <w:t xml:space="preserve">№ п/п</w:t>
            </w:r>
            <w:r/>
          </w:p>
        </w:tc>
        <w:tc>
          <w:tcPr>
            <w:tcW w:w="5670" w:type="dxa"/>
            <w:textDirection w:val="lrTb"/>
            <w:noWrap w:val="false"/>
          </w:tcPr>
          <w:p>
            <w:pPr>
              <w:pStyle w:val="740"/>
              <w:jc w:val="center"/>
              <w:rPr>
                <w:b/>
                <w:bCs/>
              </w:rPr>
            </w:pPr>
            <w:r>
              <w:rPr>
                <w:b/>
                <w:bCs/>
              </w:rPr>
              <w:t xml:space="preserve">Назва системи</w:t>
            </w:r>
            <w:r/>
          </w:p>
        </w:tc>
        <w:tc>
          <w:tcPr>
            <w:tcW w:w="1701" w:type="dxa"/>
            <w:textDirection w:val="lrTb"/>
            <w:noWrap w:val="false"/>
          </w:tcPr>
          <w:p>
            <w:pPr>
              <w:pStyle w:val="740"/>
              <w:jc w:val="center"/>
              <w:rPr>
                <w:b/>
                <w:bCs/>
              </w:rPr>
            </w:pPr>
            <w:r>
              <w:rPr>
                <w:b/>
                <w:bCs/>
              </w:rPr>
              <w:t xml:space="preserve">Одиниця виміру</w:t>
            </w:r>
            <w:r/>
          </w:p>
        </w:tc>
        <w:tc>
          <w:tcPr>
            <w:tcW w:w="1701" w:type="dxa"/>
            <w:textDirection w:val="lrTb"/>
            <w:noWrap w:val="false"/>
          </w:tcPr>
          <w:p>
            <w:pPr>
              <w:pStyle w:val="740"/>
              <w:jc w:val="center"/>
              <w:rPr>
                <w:b/>
                <w:bCs/>
              </w:rPr>
            </w:pPr>
            <w:r>
              <w:rPr>
                <w:b/>
                <w:bCs/>
              </w:rPr>
              <w:t xml:space="preserve">Кількість</w:t>
            </w:r>
            <w:r/>
          </w:p>
        </w:tc>
      </w:tr>
      <w:tr>
        <w:trPr/>
        <w:tc>
          <w:tcPr>
            <w:tcW w:w="562" w:type="dxa"/>
            <w:vAlign w:val="center"/>
            <w:textDirection w:val="lrTb"/>
            <w:noWrap w:val="false"/>
          </w:tcPr>
          <w:p>
            <w:pPr>
              <w:pStyle w:val="740"/>
              <w:jc w:val="center"/>
            </w:pPr>
            <w:r>
              <w:rPr>
                <w:b/>
                <w:bCs/>
              </w:rPr>
              <w:t xml:space="preserve">1</w:t>
            </w:r>
            <w:r/>
          </w:p>
        </w:tc>
        <w:tc>
          <w:tcPr>
            <w:tcW w:w="5670" w:type="dxa"/>
            <w:vAlign w:val="center"/>
            <w:textDirection w:val="lrTb"/>
            <w:noWrap w:val="false"/>
          </w:tcPr>
          <w:p>
            <w:pPr>
              <w:pStyle w:val="755"/>
              <w:rPr>
                <w:rFonts w:ascii="Times New Roman" w:hAnsi="Times New Roman" w:cs="Times New Roman"/>
                <w:b/>
                <w:bCs/>
                <w:sz w:val="24"/>
                <w:szCs w:val="24"/>
              </w:rPr>
            </w:pPr>
            <w:r>
              <w:rPr>
                <w:rFonts w:ascii="Times New Roman" w:hAnsi="Times New Roman" w:cs="Times New Roman"/>
                <w:b/>
                <w:bCs/>
                <w:sz w:val="24"/>
                <w:szCs w:val="24"/>
              </w:rPr>
              <w:t xml:space="preserve">Плоскопанельний дисплей 55'' в комплекті</w:t>
            </w:r>
            <w:r/>
          </w:p>
        </w:tc>
        <w:tc>
          <w:tcPr>
            <w:tcW w:w="1701" w:type="dxa"/>
            <w:vAlign w:val="center"/>
            <w:textDirection w:val="lrTb"/>
            <w:noWrap w:val="false"/>
          </w:tcPr>
          <w:p>
            <w:pPr>
              <w:pStyle w:val="740"/>
              <w:jc w:val="center"/>
            </w:pPr>
            <w:r>
              <w:rPr>
                <w:b/>
              </w:rPr>
              <w:t xml:space="preserve">шт.</w:t>
            </w:r>
            <w:r/>
          </w:p>
        </w:tc>
        <w:tc>
          <w:tcPr>
            <w:tcW w:w="1701" w:type="dxa"/>
            <w:vAlign w:val="center"/>
            <w:textDirection w:val="lrTb"/>
            <w:noWrap w:val="false"/>
          </w:tcPr>
          <w:p>
            <w:pPr>
              <w:pStyle w:val="740"/>
              <w:jc w:val="center"/>
              <w:rPr>
                <w:b/>
                <w:bCs/>
              </w:rPr>
            </w:pPr>
            <w:r>
              <w:rPr>
                <w:b/>
                <w:bCs/>
              </w:rPr>
              <w:t xml:space="preserve">1</w:t>
            </w:r>
            <w:r/>
          </w:p>
        </w:tc>
      </w:tr>
      <w:tr>
        <w:trPr/>
        <w:tc>
          <w:tcPr>
            <w:tcW w:w="562" w:type="dxa"/>
            <w:vAlign w:val="center"/>
            <w:textDirection w:val="lrTb"/>
            <w:noWrap w:val="false"/>
          </w:tcPr>
          <w:p>
            <w:pPr>
              <w:pStyle w:val="740"/>
              <w:jc w:val="center"/>
            </w:pPr>
            <w:r>
              <w:rPr>
                <w:b/>
                <w:bCs/>
              </w:rPr>
              <w:t xml:space="preserve">2</w:t>
            </w:r>
            <w:r/>
          </w:p>
        </w:tc>
        <w:tc>
          <w:tcPr>
            <w:tcW w:w="5670" w:type="dxa"/>
            <w:vAlign w:val="center"/>
            <w:textDirection w:val="lrTb"/>
            <w:noWrap w:val="false"/>
          </w:tcPr>
          <w:p>
            <w:pPr>
              <w:pStyle w:val="755"/>
              <w:rPr>
                <w:rFonts w:ascii="Times New Roman" w:hAnsi="Times New Roman" w:cs="Times New Roman"/>
                <w:b/>
                <w:bCs/>
                <w:sz w:val="24"/>
                <w:szCs w:val="24"/>
              </w:rPr>
            </w:pPr>
            <w:r>
              <w:rPr>
                <w:rFonts w:ascii="Times New Roman" w:hAnsi="Times New Roman" w:cs="Times New Roman"/>
                <w:b/>
                <w:bCs/>
                <w:sz w:val="24"/>
                <w:szCs w:val="24"/>
              </w:rPr>
              <w:t xml:space="preserve">Плоскопанельний дисплей 75'' в комплекті</w:t>
            </w:r>
            <w:r/>
          </w:p>
        </w:tc>
        <w:tc>
          <w:tcPr>
            <w:tcW w:w="1701" w:type="dxa"/>
            <w:vAlign w:val="center"/>
            <w:textDirection w:val="lrTb"/>
            <w:noWrap w:val="false"/>
          </w:tcPr>
          <w:p>
            <w:pPr>
              <w:pStyle w:val="740"/>
              <w:jc w:val="center"/>
            </w:pPr>
            <w:r>
              <w:rPr>
                <w:b/>
              </w:rPr>
              <w:t xml:space="preserve">шт.</w:t>
            </w:r>
            <w:r/>
          </w:p>
        </w:tc>
        <w:tc>
          <w:tcPr>
            <w:tcW w:w="1701" w:type="dxa"/>
            <w:vAlign w:val="center"/>
            <w:textDirection w:val="lrTb"/>
            <w:noWrap w:val="false"/>
          </w:tcPr>
          <w:p>
            <w:pPr>
              <w:pStyle w:val="740"/>
              <w:jc w:val="center"/>
              <w:rPr>
                <w:b/>
                <w:bCs/>
              </w:rPr>
            </w:pPr>
            <w:r>
              <w:rPr>
                <w:b/>
                <w:bCs/>
              </w:rPr>
              <w:t xml:space="preserve">2</w:t>
            </w:r>
            <w:r/>
          </w:p>
        </w:tc>
      </w:tr>
      <w:tr>
        <w:trPr/>
        <w:tc>
          <w:tcPr>
            <w:tcW w:w="562" w:type="dxa"/>
            <w:vAlign w:val="center"/>
            <w:textDirection w:val="lrTb"/>
            <w:noWrap w:val="false"/>
          </w:tcPr>
          <w:p>
            <w:pPr>
              <w:pStyle w:val="740"/>
              <w:jc w:val="center"/>
            </w:pPr>
            <w:r>
              <w:rPr>
                <w:b/>
                <w:bCs/>
              </w:rPr>
              <w:t xml:space="preserve">3</w:t>
            </w:r>
            <w:r/>
          </w:p>
        </w:tc>
        <w:tc>
          <w:tcPr>
            <w:tcW w:w="5670" w:type="dxa"/>
            <w:vAlign w:val="center"/>
            <w:textDirection w:val="lrTb"/>
            <w:noWrap w:val="false"/>
          </w:tcPr>
          <w:p>
            <w:pPr>
              <w:pStyle w:val="755"/>
              <w:rPr>
                <w:rFonts w:ascii="Times New Roman" w:hAnsi="Times New Roman" w:cs="Times New Roman"/>
                <w:b/>
                <w:bCs/>
                <w:sz w:val="24"/>
                <w:szCs w:val="24"/>
              </w:rPr>
            </w:pPr>
            <w:r>
              <w:rPr>
                <w:rFonts w:ascii="Times New Roman" w:hAnsi="Times New Roman" w:cs="Times New Roman"/>
                <w:b/>
                <w:bCs/>
                <w:sz w:val="24"/>
                <w:szCs w:val="24"/>
              </w:rPr>
              <w:t xml:space="preserve">Плоскопанельний дисплей 98'' в комплекті</w:t>
            </w:r>
            <w:r/>
          </w:p>
        </w:tc>
        <w:tc>
          <w:tcPr>
            <w:tcW w:w="1701" w:type="dxa"/>
            <w:vAlign w:val="center"/>
            <w:textDirection w:val="lrTb"/>
            <w:noWrap w:val="false"/>
          </w:tcPr>
          <w:p>
            <w:pPr>
              <w:pStyle w:val="740"/>
              <w:jc w:val="center"/>
            </w:pPr>
            <w:r>
              <w:rPr>
                <w:b/>
              </w:rPr>
              <w:t xml:space="preserve">шт.</w:t>
            </w:r>
            <w:r/>
          </w:p>
        </w:tc>
        <w:tc>
          <w:tcPr>
            <w:tcW w:w="1701" w:type="dxa"/>
            <w:vAlign w:val="center"/>
            <w:textDirection w:val="lrTb"/>
            <w:noWrap w:val="false"/>
          </w:tcPr>
          <w:p>
            <w:pPr>
              <w:pStyle w:val="740"/>
              <w:jc w:val="center"/>
              <w:rPr>
                <w:b/>
                <w:bCs/>
              </w:rPr>
            </w:pPr>
            <w:r>
              <w:rPr>
                <w:b/>
                <w:bCs/>
              </w:rPr>
              <w:t xml:space="preserve">2</w:t>
            </w:r>
            <w:r/>
          </w:p>
        </w:tc>
      </w:tr>
    </w:tbl>
    <w:p>
      <w:pPr>
        <w:pStyle w:val="740"/>
        <w:jc w:val="both"/>
        <w:spacing w:after="0"/>
        <w:rPr>
          <w:b/>
          <w:bCs/>
          <w:i/>
          <w:iCs/>
          <w:lang w:eastAsia="ru-RU"/>
        </w:rPr>
      </w:pPr>
      <w:r>
        <w:rPr>
          <w:b/>
          <w:bCs/>
          <w:i/>
          <w:iCs/>
          <w:lang w:eastAsia="ru-RU"/>
        </w:rPr>
      </w:r>
      <w:r/>
    </w:p>
    <w:p>
      <w:pPr>
        <w:pStyle w:val="740"/>
        <w:jc w:val="both"/>
        <w:spacing w:after="0"/>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w:t>
      </w:r>
      <w:r>
        <w:rPr>
          <w:b/>
          <w:bCs/>
          <w:i/>
          <w:iCs/>
          <w:lang w:eastAsia="ru-RU"/>
        </w:rPr>
        <w:t xml:space="preserve">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w:t>
      </w:r>
      <w:r>
        <w:rPr>
          <w:b/>
          <w:bCs/>
          <w:i/>
          <w:iCs/>
          <w:lang w:eastAsia="ru-RU"/>
        </w:rPr>
        <w:t xml:space="preserve">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Pr>
          <w:b/>
          <w:bCs/>
          <w:i/>
          <w:iCs/>
        </w:rPr>
        <w:t xml:space="preserve">; монтаж Товару на об’єкті замовника, первинна перевірка та введення в експлуатацію Товару.</w:t>
      </w:r>
      <w:r/>
    </w:p>
    <w:p>
      <w:pPr>
        <w:rPr>
          <w:rFonts w:ascii="Times New Roman" w:hAnsi="Times New Roman" w:cs="Times New Roman"/>
          <w:b/>
          <w:sz w:val="24"/>
          <w:szCs w:val="24"/>
        </w:rPr>
      </w:pPr>
      <w:r>
        <w:rPr>
          <w:rFonts w:ascii="Times New Roman" w:hAnsi="Times New Roman" w:cs="Times New Roman"/>
          <w:b/>
          <w:sz w:val="24"/>
          <w:szCs w:val="24"/>
        </w:rPr>
      </w:r>
      <w:r/>
    </w:p>
    <w:p>
      <w:pPr>
        <w:pStyle w:val="740"/>
        <w:ind w:firstLine="567"/>
        <w:jc w:val="both"/>
        <w:spacing w:after="0"/>
        <w:rPr>
          <w:color w:val="000000" w:themeColor="text1"/>
          <w:shd w:val="clear" w:color="auto" w:fill="ffffff"/>
        </w:rPr>
      </w:pPr>
      <w:r/>
      <w:bookmarkStart w:id="0" w:name="_Hlk131598067"/>
      <w:r>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r/>
    </w:p>
    <w:p>
      <w:pPr>
        <w:ind w:firstLine="567"/>
        <w:jc w:val="both"/>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проєкту Договору.</w:t>
      </w:r>
      <w:bookmarkStart w:id="1" w:name="_Hlk131682113"/>
      <w:r/>
      <w:bookmarkEnd w:id="0"/>
      <w:r/>
      <w:r/>
    </w:p>
    <w:p>
      <w:pPr>
        <w:ind w:firstLine="567"/>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w:t>
      </w:r>
      <w:r>
        <w:rPr>
          <w:rFonts w:ascii="Times New Roman" w:hAnsi="Times New Roman" w:cs="Times New Roman"/>
          <w:sz w:val="24"/>
          <w:szCs w:val="24"/>
        </w:rPr>
        <w:t xml:space="preserve">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доставка, розвантаження, монтаж,  проведення первинного технічного огляду, кінцева перевірка).</w:t>
      </w:r>
      <w:r/>
    </w:p>
    <w:p>
      <w:pPr>
        <w:ind w:firstLine="567"/>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необхідні для встановлення та витрати на них, Учаснику необхідно передбачити та внести в ціну тендерної пропозиції. </w:t>
      </w:r>
      <w:r/>
    </w:p>
    <w:p>
      <w:pPr>
        <w:ind w:firstLine="567"/>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r/>
      <w:r/>
    </w:p>
    <w:p>
      <w:pPr>
        <w:ind w:firstLine="567"/>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r/>
    </w:p>
    <w:p>
      <w:pPr>
        <w:ind w:firstLine="567"/>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10. За необхі</w:t>
      </w:r>
      <w:r>
        <w:rPr>
          <w:rFonts w:ascii="Times New Roman" w:hAnsi="Times New Roman" w:cs="Times New Roman"/>
          <w:sz w:val="24"/>
          <w:szCs w:val="24"/>
        </w:rPr>
        <w:t xml:space="preserve">дності Учасник може за домовленістю із Замовником відвідати та оглянути об’єкт Замовника де необхідно встановити предмет закупівлі та провести відповідні розрахунки для точного прорахунку тендерної пропозиції та всіх матеріалів, обладнання та устаткування,</w:t>
      </w:r>
      <w:r>
        <w:rPr>
          <w:rFonts w:ascii="Times New Roman" w:hAnsi="Times New Roman" w:cs="Times New Roman"/>
          <w:sz w:val="24"/>
          <w:szCs w:val="24"/>
        </w:rPr>
        <w:t xml:space="preserve"> що буде необхідне потенційному переможцю процедури закупівлі для виконання умов договору. Об’єкт де планується встановлення Товару знаходиться у м. Дніпро. Вся необхідна інформація буде надана потенційним Учасникам за зверненням та при обстеженню об’єкта.</w:t>
      </w:r>
      <w:r/>
    </w:p>
    <w:p>
      <w:pPr>
        <w:ind w:firstLine="567"/>
        <w:jc w:val="both"/>
        <w:spacing w:line="276" w:lineRule="auto"/>
        <w:rPr>
          <w:sz w:val="24"/>
          <w:szCs w:val="24"/>
        </w:rPr>
      </w:pPr>
      <w:r>
        <w:rPr>
          <w:sz w:val="24"/>
          <w:szCs w:val="24"/>
        </w:rPr>
      </w:r>
      <w:r/>
    </w:p>
    <w:p>
      <w:pPr>
        <w:ind w:firstLine="567"/>
        <w:jc w:val="cente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СПЕЦИФІКАЦІЯ:</w:t>
      </w:r>
      <w:r/>
    </w:p>
    <w:tbl>
      <w:tblPr>
        <w:tblpPr w:horzAnchor="margin" w:tblpXSpec="center" w:vertAnchor="page" w:tblpY="231" w:leftFromText="180" w:topFromText="0" w:rightFromText="180" w:bottomFromText="0"/>
        <w:tblW w:w="10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6"/>
        <w:gridCol w:w="2057"/>
        <w:gridCol w:w="3938"/>
        <w:gridCol w:w="3828"/>
        <w:gridCol w:w="817"/>
      </w:tblGrid>
      <w:tr>
        <w:trPr>
          <w:trHeight w:val="345"/>
        </w:trPr>
        <w:tc>
          <w:tcPr>
            <w:shd w:val="clear" w:color="auto" w:fill="auto"/>
            <w:tcW w:w="506" w:type="dxa"/>
            <w:vAlign w:val="center"/>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з/п</w:t>
            </w:r>
            <w:r/>
          </w:p>
        </w:tc>
        <w:tc>
          <w:tcPr>
            <w:shd w:val="clear" w:color="auto" w:fill="auto"/>
            <w:tcW w:w="1719" w:type="dxa"/>
            <w:vAlign w:val="center"/>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Найменування товару</w:t>
            </w:r>
            <w:r/>
          </w:p>
        </w:tc>
        <w:tc>
          <w:tcPr>
            <w:gridSpan w:val="2"/>
            <w:shd w:val="clear" w:color="auto" w:fill="auto"/>
            <w:tcW w:w="7268" w:type="dxa"/>
            <w:vAlign w:val="center"/>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Характеристики товару</w:t>
            </w:r>
            <w:r/>
          </w:p>
        </w:tc>
        <w:tc>
          <w:tcPr>
            <w:shd w:val="clear" w:color="auto" w:fill="auto"/>
            <w:tcW w:w="817" w:type="dxa"/>
            <w:vAlign w:val="center"/>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К-сть, шт</w:t>
            </w:r>
            <w:r/>
          </w:p>
        </w:tc>
      </w:tr>
      <w:tr>
        <w:trPr>
          <w:trHeight w:val="345"/>
        </w:trPr>
        <w:tc>
          <w:tcPr>
            <w:shd w:val="clear" w:color="auto" w:fill="auto"/>
            <w:tcW w:w="506" w:type="dxa"/>
            <w:vAlign w:val="center"/>
            <w:vMerge w:val="restart"/>
            <w:textDirection w:val="lrTb"/>
            <w:noWrap/>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c>
          <w:tcPr>
            <w:shd w:val="clear" w:color="auto" w:fill="auto"/>
            <w:tcW w:w="1719" w:type="dxa"/>
            <w:vAlign w:val="center"/>
            <w:vMerge w:val="restart"/>
            <w:textDirection w:val="lrTb"/>
            <w:noWrap/>
          </w:tcPr>
          <w:p>
            <w:pPr>
              <w:rPr>
                <w:rFonts w:ascii="Times New Roman" w:hAnsi="Times New Roman" w:cs="Times New Roman"/>
                <w:color w:val="000000"/>
                <w:sz w:val="24"/>
                <w:szCs w:val="24"/>
              </w:rPr>
            </w:pPr>
            <w:r>
              <w:rPr>
                <w:rFonts w:ascii="Times New Roman" w:hAnsi="Times New Roman" w:cs="Times New Roman"/>
                <w:sz w:val="24"/>
                <w:szCs w:val="24"/>
              </w:rPr>
              <w:t xml:space="preserve">Плоскопанельний дисплей 55'' в комплекті</w:t>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4K телевізор </w:t>
            </w:r>
            <w:r/>
          </w:p>
        </w:tc>
        <w:tc>
          <w:tcPr>
            <w:shd w:val="clear" w:color="auto" w:fill="auto"/>
            <w:tcW w:w="817" w:type="dxa"/>
            <w:vAlign w:val="center"/>
            <w:vMerge w:val="restart"/>
            <w:textDirection w:val="lrTb"/>
            <w:noWrap/>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дисплея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ЖК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Діагональ</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55"</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Роздільна здатність</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3840x2160 пікселів (Ultra HD)</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Частота оновлення при максимальній роздільній здатності</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100 Гц</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Співвідношення сторін гор/верт</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16 на 9</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Кут огляду гор/верт</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178/178</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Моушн технологія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Технологія Motion Xcelerator 120Hz</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Контраст</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Dual LED</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HDR 10+</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(ADAPTIVE/ GAMING)</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Режим кінорежисера (FMM)</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Дизайн</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AirSlim</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панелі</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Ультратонка</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Споживання електроенергії (максимальне)</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210 Вт</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Споживання електроенергії (в режимі очікування)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0,5 Вт</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 живлення</w:t>
            </w:r>
            <w:r/>
          </w:p>
        </w:tc>
        <w:tc>
          <w:tcPr>
            <w:shd w:val="clear" w:color="auto" w:fill="auto"/>
            <w:tcW w:w="3828"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AC100-240V Вт 50/60</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Автоматичне енергозбереження та вимкнення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Розміри (без підставки)</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1233 x 710 x 26 мм</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 комплекті кріплення Vesa</w:t>
            </w:r>
            <w:r/>
          </w:p>
        </w:tc>
        <w:tc>
          <w:tcPr>
            <w:shd w:val="clear" w:color="auto" w:fill="auto"/>
            <w:tcW w:w="3828"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Настінне, 200 х 200</w:t>
            </w:r>
            <w:r>
              <w:rPr>
                <w:rFonts w:ascii="Times New Roman" w:hAnsi="Times New Roman" w:cs="Times New Roman"/>
                <w:color w:val="000000"/>
                <w:sz w:val="24"/>
                <w:szCs w:val="24"/>
              </w:rPr>
              <w:br/>
              <w:t xml:space="preserve">Можливість регулювання кута нахилу: Так, у діапазоні не вужче 0° ~ -15°</w:t>
            </w:r>
            <w:r>
              <w:rPr>
                <w:rFonts w:ascii="Times New Roman" w:hAnsi="Times New Roman" w:cs="Times New Roman"/>
                <w:color w:val="000000"/>
                <w:sz w:val="24"/>
                <w:szCs w:val="24"/>
              </w:rPr>
              <w:br/>
              <w:t xml:space="preserve">Можливість повороту: Не обов'язково</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 комплекті пульт дистанційного керування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багатофункціональний</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Підтримка веб-камери</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Вихідна потужність звуку</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20 Вт</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динаміків</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2-канальний</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360 Audio</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Робота з кількома пристроями</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 телевізора на мобільний, з мобільного на телевізор, ініціювання дзеркального відображення з телевізора, віддзеркалення звуку, бездротове вмикання, Tap View</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Режим Multi-View</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До 2 відео</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Apple AirPlay</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Цифрове мовлення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DVB-T2CS2</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Роз'єм USB</w:t>
            </w:r>
            <w:r/>
          </w:p>
        </w:tc>
        <w:tc>
          <w:tcPr>
            <w:shd w:val="clear" w:color="auto" w:fill="auto"/>
            <w:tcW w:w="3828"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 x USB-A</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Роз'єм Ethernet (LAN)</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100 Гц</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Антенний вхід (вхід для ефірного/кабельного/супутникового ТБ)</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1/1 (Загальне використання для наземного телебачення)/1</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Цифровий аудіовихід (оптичний)</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Роз'єм HDMI (підтримка частоти оновлення)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4 х 4K 120 Гц (для HDMI 1/2/3/4)</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Wi-Fi</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не гірше Wi-Fi 5</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Bluetooth</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не гірше BT5.2</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12 міс</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shd w:val="clear" w:color="auto" w:fill="auto"/>
            <w:tcW w:w="506" w:type="dxa"/>
            <w:vAlign w:val="center"/>
            <w:vMerge w:val="restart"/>
            <w:textDirection w:val="lrTb"/>
            <w:noWrap/>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w:t>
            </w:r>
            <w:r/>
          </w:p>
        </w:tc>
        <w:tc>
          <w:tcPr>
            <w:shd w:val="clear" w:color="auto" w:fill="auto"/>
            <w:tcW w:w="1719" w:type="dxa"/>
            <w:vAlign w:val="center"/>
            <w:vMerge w:val="restart"/>
            <w:textDirection w:val="lrTb"/>
            <w:noWrap/>
          </w:tcPr>
          <w:p>
            <w:pPr>
              <w:rPr>
                <w:rFonts w:ascii="Times New Roman" w:hAnsi="Times New Roman" w:cs="Times New Roman"/>
                <w:color w:val="000000"/>
                <w:sz w:val="24"/>
                <w:szCs w:val="24"/>
              </w:rPr>
            </w:pPr>
            <w:r>
              <w:rPr>
                <w:rFonts w:ascii="Times New Roman" w:hAnsi="Times New Roman" w:cs="Times New Roman"/>
                <w:sz w:val="24"/>
                <w:szCs w:val="24"/>
              </w:rPr>
              <w:t xml:space="preserve">Плоскопанельний дисплей 75'' в комплекті</w:t>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4K телевізор </w:t>
            </w:r>
            <w:r/>
          </w:p>
        </w:tc>
        <w:tc>
          <w:tcPr>
            <w:shd w:val="clear" w:color="auto" w:fill="auto"/>
            <w:tcW w:w="817" w:type="dxa"/>
            <w:vAlign w:val="center"/>
            <w:vMerge w:val="restart"/>
            <w:textDirection w:val="lrTb"/>
            <w:noWrap/>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w:t>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дисплея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ЖК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Діагональ</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75"</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Роздільна здатність</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3840x2160 пікселів (Ultra HD)</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Частота оновлення при максимальній роздільній здатності</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100 Гц</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Співвідношення сторін гор/верт</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16 на 9</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Кут огляду гор/верт</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178/178</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Моушн технологія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Технологія Motion Xcelerator 120Hz</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Контраст</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Dual LED</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HDR 10+</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(ADAPTIVE/ GAMING)</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Режим кінорежисера (FMM)</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Дизайн</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AirSlim</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панелі</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Ультратонка</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Споживання електроенергії (максимальне)</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330 Вт</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Споживання електроенергії (в режимі очікування)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0,5 Вт</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 живлення</w:t>
            </w:r>
            <w:r/>
          </w:p>
        </w:tc>
        <w:tc>
          <w:tcPr>
            <w:shd w:val="clear" w:color="auto" w:fill="auto"/>
            <w:tcW w:w="3828"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AC100-240V Вт 50/60</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Автоматичне енергозбереження та вимкнення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Розміри (без підставки)</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1680 x 965 x 27 мм</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 комплекті кріплення Vesa</w:t>
            </w:r>
            <w:r/>
          </w:p>
        </w:tc>
        <w:tc>
          <w:tcPr>
            <w:shd w:val="clear" w:color="auto" w:fill="auto"/>
            <w:tcW w:w="3828"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Настінне, 400 х 400</w:t>
            </w:r>
            <w:r>
              <w:rPr>
                <w:rFonts w:ascii="Times New Roman" w:hAnsi="Times New Roman" w:cs="Times New Roman"/>
                <w:color w:val="000000"/>
                <w:sz w:val="24"/>
                <w:szCs w:val="24"/>
              </w:rPr>
              <w:br/>
              <w:t xml:space="preserve">Можливість регулювання кута нахилу: Так, у діапазоні не вужче 0° ~ -15°</w:t>
            </w:r>
            <w:r>
              <w:rPr>
                <w:rFonts w:ascii="Times New Roman" w:hAnsi="Times New Roman" w:cs="Times New Roman"/>
                <w:color w:val="000000"/>
                <w:sz w:val="24"/>
                <w:szCs w:val="24"/>
              </w:rPr>
              <w:br/>
              <w:t xml:space="preserve">Можливість повороту: Не обов'язково</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 комплекті пульт дистанційного керування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багатофункціональний</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Підтримка веб-камери</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Вихідна потужність звуку</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20 Вт</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динаміків</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2-канальний</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360 Audio</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Робота з кількома пристроями</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 телевізора на мобільний, з мобільного на телевізор, ініціювання дзеркального відображення з телевізора, віддзеркалення звуку, бездротове вмикання, Tap View</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Режим Multi-View</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До 2 відео</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Apple AirPlay</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Цифрове мовлення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DVB-T2CS2</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Роз'єм USB</w:t>
            </w:r>
            <w:r/>
          </w:p>
        </w:tc>
        <w:tc>
          <w:tcPr>
            <w:shd w:val="clear" w:color="auto" w:fill="auto"/>
            <w:tcW w:w="3828"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 x USB-A</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Роз'єм Ethernet (LAN)</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Антенний вхід (вхід для ефірного/кабельного/супутникового ТБ)</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1/1 (Загальне використання для наземного телебачення)/1</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Цифровий аудіовихід (оптичний)</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Роз'єм HDMI (підтримка частоти оновлення)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4 х 4K 120 Гц (для HDMI 1/2/3/4)</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Wi-Fi</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не гірше Wi-Fi 5</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Bluetooth</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не гірше BT5.2</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12 міс</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shd w:val="clear" w:color="auto" w:fill="auto"/>
            <w:tcW w:w="506" w:type="dxa"/>
            <w:vAlign w:val="center"/>
            <w:vMerge w:val="restart"/>
            <w:textDirection w:val="lrTb"/>
            <w:noWrap/>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w:t>
            </w:r>
            <w:r/>
          </w:p>
        </w:tc>
        <w:tc>
          <w:tcPr>
            <w:shd w:val="clear" w:color="auto" w:fill="auto"/>
            <w:tcW w:w="1719" w:type="dxa"/>
            <w:vAlign w:val="center"/>
            <w:vMerge w:val="restart"/>
            <w:textDirection w:val="lrTb"/>
            <w:noWrap/>
          </w:tcPr>
          <w:p>
            <w:pPr>
              <w:rPr>
                <w:rFonts w:ascii="Times New Roman" w:hAnsi="Times New Roman" w:cs="Times New Roman"/>
                <w:color w:val="000000"/>
                <w:sz w:val="24"/>
                <w:szCs w:val="24"/>
              </w:rPr>
            </w:pPr>
            <w:r>
              <w:rPr>
                <w:rFonts w:ascii="Times New Roman" w:hAnsi="Times New Roman" w:cs="Times New Roman"/>
                <w:sz w:val="24"/>
                <w:szCs w:val="24"/>
              </w:rPr>
              <w:t xml:space="preserve">Плоскопанельний дисплей 98'' в комплекті</w:t>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4K телевізор (LED)</w:t>
            </w:r>
            <w:r/>
          </w:p>
        </w:tc>
        <w:tc>
          <w:tcPr>
            <w:shd w:val="clear" w:color="auto" w:fill="auto"/>
            <w:tcW w:w="817" w:type="dxa"/>
            <w:vAlign w:val="center"/>
            <w:vMerge w:val="restart"/>
            <w:textDirection w:val="lrTb"/>
            <w:noWrap/>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w:t>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дисплея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ЖК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Діагональ</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98"</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Роздільна здатність</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3840x2160 пікселів (Ultra HD)</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Частота оновлення при максимальній роздільній здатності</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100 Гц</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Співвідношення сторін гор/верт</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16 на 9</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Кут огляду гор/верт</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178/178</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Моушн технологія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Технологія Motion Xcelerator 120Hz</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Контраст</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Mega Contrast</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HDR 10+</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(ADAPTIVE/ GAMING)</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Режим кінорежисера (FMM)</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Дизайн</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Slim</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панелі</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Тонка</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Споживання електроенергії (максимальне)</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510 Вт</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Споживання електроенергії (в режимі очікування)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0,5 Вт</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 живлення</w:t>
            </w:r>
            <w:r/>
          </w:p>
        </w:tc>
        <w:tc>
          <w:tcPr>
            <w:shd w:val="clear" w:color="auto" w:fill="auto"/>
            <w:tcW w:w="3828"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AC100-240V Вт 50/60</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Автоматичне енергозбереження та вимкнення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Розміри (без підставки)</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2185 x 1245 x 65 мм</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 комплекті кріплення Vesa</w:t>
            </w:r>
            <w:r/>
          </w:p>
        </w:tc>
        <w:tc>
          <w:tcPr>
            <w:shd w:val="clear" w:color="auto" w:fill="auto"/>
            <w:tcW w:w="3828"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Настінне, 600 х 400</w:t>
            </w:r>
            <w:r>
              <w:rPr>
                <w:rFonts w:ascii="Times New Roman" w:hAnsi="Times New Roman" w:cs="Times New Roman"/>
                <w:color w:val="000000"/>
                <w:sz w:val="24"/>
                <w:szCs w:val="24"/>
              </w:rPr>
              <w:br/>
              <w:t xml:space="preserve">Можливість регулювання кута нахилу: Так, у діапазоні не вужче 0° ~ -15°</w:t>
            </w:r>
            <w:r>
              <w:rPr>
                <w:rFonts w:ascii="Times New Roman" w:hAnsi="Times New Roman" w:cs="Times New Roman"/>
                <w:color w:val="000000"/>
                <w:sz w:val="24"/>
                <w:szCs w:val="24"/>
              </w:rPr>
              <w:br/>
              <w:t xml:space="preserve">Можливість повороту: Не обов'язково</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 комплекті пульт дистанційного керування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багатофункціональний</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Підтримка веб-камери</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Вихідна потужність звуку</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20 Вт</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динаміків</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2-канальний</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Робота з кількома пристроями</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 телевізора на мобільний, з мобільного на телевізор, ініціювання дзеркального відображення з телевізора, віддзеркалення звуку, бездротове вмикання, Tap View</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Режим Multi-View</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До 2 відео</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Apple AirPlay</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Цифрове мовлення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DVB-T2CS2</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Роз'єм USB</w:t>
            </w:r>
            <w:r/>
          </w:p>
        </w:tc>
        <w:tc>
          <w:tcPr>
            <w:shd w:val="clear" w:color="auto" w:fill="auto"/>
            <w:tcW w:w="3828"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 x USB-A</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Роз'єм Ethernet (LAN)</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Антенний вхід (вхід для ефірного/кабельного/супутникового ТБ)</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1/1 (Загальне використання для наземного телебачення)/1</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Цифровий аудіовихід (оптичний)</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Роз'єм HDMI (підтримка частоти оновлення)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3 х 4K 120 Гц (для HDMI 1/2/3/4)</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Wi-Fi</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не гірше Wi-Fi 5</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Bluetooth</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не гірше BT5.2</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45"/>
        </w:trPr>
        <w:tc>
          <w:tcPr>
            <w:tcW w:w="506"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3440"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w:t>
            </w:r>
            <w:r/>
          </w:p>
        </w:tc>
        <w:tc>
          <w:tcPr>
            <w:shd w:val="clear" w:color="auto" w:fill="auto"/>
            <w:tcW w:w="3828" w:type="dxa"/>
            <w:vAlign w:val="center"/>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12 міс</w:t>
            </w:r>
            <w:r/>
          </w:p>
        </w:tc>
        <w:tc>
          <w:tcPr>
            <w:tcW w:w="817" w:type="dxa"/>
            <w:vAlign w:val="center"/>
            <w:vMerge w:val="continue"/>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r>
            <w:r/>
          </w:p>
        </w:tc>
      </w:tr>
    </w:tbl>
    <w:p>
      <w:pPr>
        <w:contextualSpacing/>
        <w:spacing w:after="200" w:line="276" w:lineRule="auto"/>
        <w:rPr>
          <w:b/>
          <w:bCs/>
        </w:rPr>
      </w:pPr>
      <w:r>
        <w:rPr>
          <w:b/>
          <w:bCs/>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firstLine="567"/>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contextualSpacing/>
        <w:ind w:firstLine="567"/>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Вимоги до предмету закупівлі:</w:t>
      </w: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уніфікації сервісного обслуговування Товар, що входить до складу предмету закупівлі, має бути від одного виробника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підтвердження відповідності Товару, що входить до складу предмету закупівлі, якісним ха</w:t>
      </w:r>
      <w:r>
        <w:rPr>
          <w:rFonts w:ascii="Times New Roman" w:hAnsi="Times New Roman" w:cs="Times New Roman"/>
          <w:sz w:val="24"/>
          <w:szCs w:val="24"/>
        </w:rPr>
        <w:t xml:space="preserve">рактеристикам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Якщо Учасник не є виробником товару, що входить до складу пре</w:t>
      </w:r>
      <w:r>
        <w:rPr>
          <w:rFonts w:ascii="Times New Roman" w:hAnsi="Times New Roman" w:cs="Times New Roman"/>
          <w:sz w:val="24"/>
          <w:szCs w:val="24"/>
        </w:rPr>
        <w:t xml:space="preserve">дмету закупівлі, то він повинен надати лист від виробника (або дистрибутора)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w:t>
      </w:r>
      <w:r>
        <w:rPr>
          <w:rFonts w:ascii="Times New Roman" w:hAnsi="Times New Roman" w:cs="Times New Roman"/>
          <w:sz w:val="24"/>
          <w:szCs w:val="24"/>
        </w:rPr>
        <w:t xml:space="preserve">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w:t>
      </w:r>
      <w:r>
        <w:rPr>
          <w:rFonts w:ascii="Times New Roman" w:hAnsi="Times New Roman" w:cs="Times New Roman"/>
          <w:sz w:val="24"/>
          <w:szCs w:val="24"/>
        </w:rPr>
        <w:t xml:space="preserve">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 надає перелік сервісних центрів служби технічної підтримки, у яких буде здійснюв</w:t>
      </w:r>
      <w:r>
        <w:rPr>
          <w:rFonts w:ascii="Times New Roman" w:hAnsi="Times New Roman" w:cs="Times New Roman"/>
          <w:sz w:val="24"/>
          <w:szCs w:val="24"/>
        </w:rPr>
        <w:t xml:space="preserve">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 підтвердження відповідності товару, що входить до складу предмету закупівлі  Учасник повинен надати копію:</w:t>
      </w:r>
      <w:r/>
    </w:p>
    <w:p>
      <w:pPr>
        <w:numPr>
          <w:ilvl w:val="0"/>
          <w:numId w:val="43"/>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Сертифікату на систему управління якістю ДСТУ ISO 9001:2018; </w:t>
      </w:r>
      <w:r/>
    </w:p>
    <w:p>
      <w:pPr>
        <w:numPr>
          <w:ilvl w:val="0"/>
          <w:numId w:val="43"/>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Сертифікату на систему екологічного керування ДСТУ ISO 14001:2015; </w:t>
      </w:r>
      <w:r/>
    </w:p>
    <w:p>
      <w:pPr>
        <w:numPr>
          <w:ilvl w:val="0"/>
          <w:numId w:val="43"/>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Сертифікату на систему менеджменту інформаційної безпеки ISO/IEC 27001:2022;</w:t>
      </w:r>
      <w:r/>
    </w:p>
    <w:p>
      <w:pPr>
        <w:numPr>
          <w:ilvl w:val="0"/>
          <w:numId w:val="43"/>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Сертифікату на систему управління безпекою ланцюга постачання ISO/IEC 28000:2007;</w:t>
      </w:r>
      <w:r/>
    </w:p>
    <w:p>
      <w:pPr>
        <w:numPr>
          <w:ilvl w:val="0"/>
          <w:numId w:val="43"/>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Сертифікату на системи менеджменту охорони здоров'я та безпеки праці. Вимоги та настанови щодо застосовування ISO 45001:2018;</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 надає порівняльну таблицю відповідності запропонованого товару технічним вимогам Замовника.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ind w:firstLine="567"/>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p>
      <w:pPr>
        <w:ind w:firstLine="567"/>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Таблиця відповідності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2"/>
        <w:gridCol w:w="2928"/>
        <w:gridCol w:w="3155"/>
        <w:gridCol w:w="2936"/>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ind w:firstLine="567"/>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ind w:firstLine="567"/>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ind w:firstLine="567"/>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Опис технічних вимог, які  пропонуються Учасником</w:t>
            </w:r>
            <w:r/>
          </w:p>
        </w:tc>
      </w:tr>
    </w:tbl>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Гарантійні листи повинні бути адресовані Замовнику із обов’язковим зазначенням найменування та номеру закупівлі.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Замо</w:t>
      </w:r>
      <w:r>
        <w:rPr>
          <w:rFonts w:ascii="Times New Roman" w:hAnsi="Times New Roman" w:cs="Times New Roman"/>
          <w:sz w:val="24"/>
          <w:szCs w:val="24"/>
        </w:rPr>
        <w:t xml:space="preserve">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w:t>
      </w:r>
      <w:r>
        <w:rPr>
          <w:rFonts w:ascii="Times New Roman" w:hAnsi="Times New Roman" w:cs="Times New Roman"/>
          <w:sz w:val="24"/>
          <w:szCs w:val="24"/>
        </w:rPr>
        <w:t xml:space="preserve">критеріїв, наявність п</w:t>
      </w:r>
      <w:r>
        <w:rPr>
          <w:rFonts w:ascii="Times New Roman" w:hAnsi="Times New Roman" w:cs="Times New Roman"/>
          <w:sz w:val="24"/>
          <w:szCs w:val="24"/>
        </w:rPr>
        <w:t xml:space="preserve">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p>
    <w:p>
      <w:pPr>
        <w:ind w:firstLine="567"/>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567"/>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567"/>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567"/>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567"/>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w:t>
      </w:r>
      <w:r>
        <w:rPr>
          <w:rFonts w:ascii="Times New Roman" w:hAnsi="Times New Roman" w:cs="Times New Roman"/>
          <w:bCs/>
          <w:iCs/>
          <w:sz w:val="24"/>
          <w:szCs w:val="24"/>
        </w:rPr>
        <w:t xml:space="preserve">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right="-1"/>
        <w:jc w:val="both"/>
        <w:spacing w:after="0" w:line="240" w:lineRule="auto"/>
        <w:widowControl w:val="off"/>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448 111,67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чотириста сорок вісім тисяч сто одинадцять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1"/>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9"/>
    <w:next w:val="72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3"/>
    <w:link w:val="12"/>
    <w:uiPriority w:val="9"/>
    <w:rPr>
      <w:rFonts w:ascii="Arial" w:hAnsi="Arial" w:eastAsia="Arial" w:cs="Arial"/>
      <w:sz w:val="40"/>
      <w:szCs w:val="40"/>
    </w:rPr>
  </w:style>
  <w:style w:type="character" w:styleId="15">
    <w:name w:val="Heading 2 Char"/>
    <w:basedOn w:val="733"/>
    <w:link w:val="730"/>
    <w:uiPriority w:val="9"/>
    <w:rPr>
      <w:rFonts w:ascii="Arial" w:hAnsi="Arial" w:eastAsia="Arial" w:cs="Arial"/>
      <w:sz w:val="34"/>
    </w:rPr>
  </w:style>
  <w:style w:type="character" w:styleId="17">
    <w:name w:val="Heading 3 Char"/>
    <w:basedOn w:val="733"/>
    <w:link w:val="731"/>
    <w:uiPriority w:val="9"/>
    <w:rPr>
      <w:rFonts w:ascii="Arial" w:hAnsi="Arial" w:eastAsia="Arial" w:cs="Arial"/>
      <w:sz w:val="30"/>
      <w:szCs w:val="30"/>
    </w:rPr>
  </w:style>
  <w:style w:type="character" w:styleId="19">
    <w:name w:val="Heading 4 Char"/>
    <w:basedOn w:val="733"/>
    <w:link w:val="732"/>
    <w:uiPriority w:val="9"/>
    <w:rPr>
      <w:rFonts w:ascii="Arial" w:hAnsi="Arial" w:eastAsia="Arial" w:cs="Arial"/>
      <w:b/>
      <w:bCs/>
      <w:sz w:val="26"/>
      <w:szCs w:val="26"/>
    </w:rPr>
  </w:style>
  <w:style w:type="paragraph" w:styleId="20">
    <w:name w:val="Heading 5"/>
    <w:basedOn w:val="729"/>
    <w:next w:val="72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3"/>
    <w:link w:val="20"/>
    <w:uiPriority w:val="9"/>
    <w:rPr>
      <w:rFonts w:ascii="Arial" w:hAnsi="Arial" w:eastAsia="Arial" w:cs="Arial"/>
      <w:b/>
      <w:bCs/>
      <w:sz w:val="24"/>
      <w:szCs w:val="24"/>
    </w:rPr>
  </w:style>
  <w:style w:type="paragraph" w:styleId="22">
    <w:name w:val="Heading 6"/>
    <w:basedOn w:val="729"/>
    <w:next w:val="72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3"/>
    <w:link w:val="22"/>
    <w:uiPriority w:val="9"/>
    <w:rPr>
      <w:rFonts w:ascii="Arial" w:hAnsi="Arial" w:eastAsia="Arial" w:cs="Arial"/>
      <w:b/>
      <w:bCs/>
      <w:sz w:val="22"/>
      <w:szCs w:val="22"/>
    </w:rPr>
  </w:style>
  <w:style w:type="paragraph" w:styleId="24">
    <w:name w:val="Heading 7"/>
    <w:basedOn w:val="729"/>
    <w:next w:val="72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3"/>
    <w:link w:val="24"/>
    <w:uiPriority w:val="9"/>
    <w:rPr>
      <w:rFonts w:ascii="Arial" w:hAnsi="Arial" w:eastAsia="Arial" w:cs="Arial"/>
      <w:b/>
      <w:bCs/>
      <w:i/>
      <w:iCs/>
      <w:sz w:val="22"/>
      <w:szCs w:val="22"/>
    </w:rPr>
  </w:style>
  <w:style w:type="paragraph" w:styleId="26">
    <w:name w:val="Heading 8"/>
    <w:basedOn w:val="729"/>
    <w:next w:val="72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3"/>
    <w:link w:val="26"/>
    <w:uiPriority w:val="9"/>
    <w:rPr>
      <w:rFonts w:ascii="Arial" w:hAnsi="Arial" w:eastAsia="Arial" w:cs="Arial"/>
      <w:i/>
      <w:iCs/>
      <w:sz w:val="22"/>
      <w:szCs w:val="22"/>
    </w:rPr>
  </w:style>
  <w:style w:type="paragraph" w:styleId="28">
    <w:name w:val="Heading 9"/>
    <w:basedOn w:val="729"/>
    <w:next w:val="72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3"/>
    <w:link w:val="28"/>
    <w:uiPriority w:val="9"/>
    <w:rPr>
      <w:rFonts w:ascii="Arial" w:hAnsi="Arial" w:eastAsia="Arial" w:cs="Arial"/>
      <w:i/>
      <w:iCs/>
      <w:sz w:val="21"/>
      <w:szCs w:val="21"/>
    </w:rPr>
  </w:style>
  <w:style w:type="paragraph" w:styleId="33">
    <w:name w:val="Title"/>
    <w:basedOn w:val="729"/>
    <w:next w:val="729"/>
    <w:link w:val="34"/>
    <w:uiPriority w:val="10"/>
    <w:qFormat/>
    <w:pPr>
      <w:contextualSpacing/>
      <w:spacing w:before="300" w:after="200"/>
    </w:pPr>
    <w:rPr>
      <w:sz w:val="48"/>
      <w:szCs w:val="48"/>
    </w:rPr>
  </w:style>
  <w:style w:type="character" w:styleId="34">
    <w:name w:val="Title Char"/>
    <w:basedOn w:val="733"/>
    <w:link w:val="33"/>
    <w:uiPriority w:val="10"/>
    <w:rPr>
      <w:sz w:val="48"/>
      <w:szCs w:val="48"/>
    </w:rPr>
  </w:style>
  <w:style w:type="paragraph" w:styleId="35">
    <w:name w:val="Subtitle"/>
    <w:basedOn w:val="729"/>
    <w:next w:val="729"/>
    <w:link w:val="36"/>
    <w:uiPriority w:val="11"/>
    <w:qFormat/>
    <w:pPr>
      <w:spacing w:before="200" w:after="200"/>
    </w:pPr>
    <w:rPr>
      <w:sz w:val="24"/>
      <w:szCs w:val="24"/>
    </w:rPr>
  </w:style>
  <w:style w:type="character" w:styleId="36">
    <w:name w:val="Subtitle Char"/>
    <w:basedOn w:val="733"/>
    <w:link w:val="35"/>
    <w:uiPriority w:val="11"/>
    <w:rPr>
      <w:sz w:val="24"/>
      <w:szCs w:val="24"/>
    </w:rPr>
  </w:style>
  <w:style w:type="paragraph" w:styleId="37">
    <w:name w:val="Quote"/>
    <w:basedOn w:val="729"/>
    <w:next w:val="729"/>
    <w:link w:val="38"/>
    <w:uiPriority w:val="29"/>
    <w:qFormat/>
    <w:pPr>
      <w:ind w:left="720" w:right="720"/>
    </w:pPr>
    <w:rPr>
      <w:i/>
    </w:rPr>
  </w:style>
  <w:style w:type="character" w:styleId="38">
    <w:name w:val="Quote Char"/>
    <w:link w:val="37"/>
    <w:uiPriority w:val="29"/>
    <w:rPr>
      <w:i/>
    </w:rPr>
  </w:style>
  <w:style w:type="paragraph" w:styleId="39">
    <w:name w:val="Intense Quote"/>
    <w:basedOn w:val="729"/>
    <w:next w:val="72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9"/>
    <w:link w:val="42"/>
    <w:uiPriority w:val="99"/>
    <w:unhideWhenUsed/>
    <w:pPr>
      <w:spacing w:after="0" w:line="240" w:lineRule="auto"/>
      <w:tabs>
        <w:tab w:val="center" w:pos="7143" w:leader="none"/>
        <w:tab w:val="right" w:pos="14287" w:leader="none"/>
      </w:tabs>
    </w:pPr>
  </w:style>
  <w:style w:type="character" w:styleId="42">
    <w:name w:val="Header Char"/>
    <w:basedOn w:val="733"/>
    <w:link w:val="41"/>
    <w:uiPriority w:val="99"/>
  </w:style>
  <w:style w:type="character" w:styleId="44">
    <w:name w:val="Footer Char"/>
    <w:basedOn w:val="733"/>
    <w:link w:val="742"/>
    <w:uiPriority w:val="99"/>
  </w:style>
  <w:style w:type="paragraph" w:styleId="45">
    <w:name w:val="Caption"/>
    <w:basedOn w:val="729"/>
    <w:next w:val="729"/>
    <w:uiPriority w:val="35"/>
    <w:semiHidden/>
    <w:unhideWhenUsed/>
    <w:qFormat/>
    <w:pPr>
      <w:spacing w:line="276" w:lineRule="auto"/>
    </w:pPr>
    <w:rPr>
      <w:b/>
      <w:bCs/>
      <w:color w:val="4f81bd" w:themeColor="accent1"/>
      <w:sz w:val="18"/>
      <w:szCs w:val="18"/>
    </w:rPr>
  </w:style>
  <w:style w:type="character" w:styleId="46">
    <w:name w:val="Caption Char"/>
    <w:basedOn w:val="45"/>
    <w:link w:val="742"/>
    <w:uiPriority w:val="99"/>
  </w:style>
  <w:style w:type="table" w:styleId="48">
    <w:name w:val="Table Grid Light"/>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3"/>
    <w:uiPriority w:val="99"/>
    <w:unhideWhenUsed/>
    <w:rPr>
      <w:vertAlign w:val="superscript"/>
    </w:rPr>
  </w:style>
  <w:style w:type="paragraph" w:styleId="177">
    <w:name w:val="endnote text"/>
    <w:basedOn w:val="72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3"/>
    <w:uiPriority w:val="99"/>
    <w:semiHidden/>
    <w:unhideWhenUsed/>
    <w:rPr>
      <w:vertAlign w:val="superscript"/>
    </w:rPr>
  </w:style>
  <w:style w:type="paragraph" w:styleId="180">
    <w:name w:val="toc 1"/>
    <w:basedOn w:val="729"/>
    <w:next w:val="729"/>
    <w:uiPriority w:val="39"/>
    <w:unhideWhenUsed/>
    <w:pPr>
      <w:ind w:left="0" w:right="0" w:firstLine="0"/>
      <w:spacing w:after="57"/>
    </w:pPr>
  </w:style>
  <w:style w:type="paragraph" w:styleId="181">
    <w:name w:val="toc 2"/>
    <w:basedOn w:val="729"/>
    <w:next w:val="729"/>
    <w:uiPriority w:val="39"/>
    <w:unhideWhenUsed/>
    <w:pPr>
      <w:ind w:left="283" w:right="0" w:firstLine="0"/>
      <w:spacing w:after="57"/>
    </w:pPr>
  </w:style>
  <w:style w:type="paragraph" w:styleId="182">
    <w:name w:val="toc 3"/>
    <w:basedOn w:val="729"/>
    <w:next w:val="729"/>
    <w:uiPriority w:val="39"/>
    <w:unhideWhenUsed/>
    <w:pPr>
      <w:ind w:left="567" w:right="0" w:firstLine="0"/>
      <w:spacing w:after="57"/>
    </w:pPr>
  </w:style>
  <w:style w:type="paragraph" w:styleId="183">
    <w:name w:val="toc 4"/>
    <w:basedOn w:val="729"/>
    <w:next w:val="729"/>
    <w:uiPriority w:val="39"/>
    <w:unhideWhenUsed/>
    <w:pPr>
      <w:ind w:left="850" w:right="0" w:firstLine="0"/>
      <w:spacing w:after="57"/>
    </w:pPr>
  </w:style>
  <w:style w:type="paragraph" w:styleId="184">
    <w:name w:val="toc 5"/>
    <w:basedOn w:val="729"/>
    <w:next w:val="729"/>
    <w:uiPriority w:val="39"/>
    <w:unhideWhenUsed/>
    <w:pPr>
      <w:ind w:left="1134" w:right="0" w:firstLine="0"/>
      <w:spacing w:after="57"/>
    </w:pPr>
  </w:style>
  <w:style w:type="paragraph" w:styleId="185">
    <w:name w:val="toc 6"/>
    <w:basedOn w:val="729"/>
    <w:next w:val="729"/>
    <w:uiPriority w:val="39"/>
    <w:unhideWhenUsed/>
    <w:pPr>
      <w:ind w:left="1417" w:right="0" w:firstLine="0"/>
      <w:spacing w:after="57"/>
    </w:pPr>
  </w:style>
  <w:style w:type="paragraph" w:styleId="186">
    <w:name w:val="toc 7"/>
    <w:basedOn w:val="729"/>
    <w:next w:val="729"/>
    <w:uiPriority w:val="39"/>
    <w:unhideWhenUsed/>
    <w:pPr>
      <w:ind w:left="1701" w:right="0" w:firstLine="0"/>
      <w:spacing w:after="57"/>
    </w:pPr>
  </w:style>
  <w:style w:type="paragraph" w:styleId="187">
    <w:name w:val="toc 8"/>
    <w:basedOn w:val="729"/>
    <w:next w:val="729"/>
    <w:uiPriority w:val="39"/>
    <w:unhideWhenUsed/>
    <w:pPr>
      <w:ind w:left="1984" w:right="0" w:firstLine="0"/>
      <w:spacing w:after="57"/>
    </w:pPr>
  </w:style>
  <w:style w:type="paragraph" w:styleId="188">
    <w:name w:val="toc 9"/>
    <w:basedOn w:val="729"/>
    <w:next w:val="72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9"/>
    <w:next w:val="729"/>
    <w:uiPriority w:val="99"/>
    <w:unhideWhenUsed/>
    <w:pPr>
      <w:spacing w:after="0" w:afterAutospacing="0"/>
    </w:pPr>
  </w:style>
  <w:style w:type="paragraph" w:styleId="729" w:default="1">
    <w:name w:val="Normal"/>
    <w:qFormat/>
    <w:rPr>
      <w:lang w:val="uk-UA"/>
    </w:rPr>
  </w:style>
  <w:style w:type="paragraph" w:styleId="730">
    <w:name w:val="Heading 2"/>
    <w:basedOn w:val="729"/>
    <w:link w:val="75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1">
    <w:name w:val="Heading 3"/>
    <w:basedOn w:val="729"/>
    <w:next w:val="729"/>
    <w:link w:val="76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2">
    <w:name w:val="Heading 4"/>
    <w:basedOn w:val="729"/>
    <w:next w:val="729"/>
    <w:link w:val="76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paragraph" w:styleId="736">
    <w:name w:val="List Paragraph"/>
    <w:basedOn w:val="729"/>
    <w:link w:val="737"/>
    <w:uiPriority w:val="34"/>
    <w:qFormat/>
    <w:pPr>
      <w:contextualSpacing/>
      <w:ind w:left="720"/>
      <w:spacing w:after="200" w:line="276" w:lineRule="auto"/>
    </w:pPr>
    <w:rPr>
      <w:rFonts w:ascii="Calibri" w:hAnsi="Calibri" w:eastAsia="Calibri" w:cs="Calibri"/>
      <w:lang w:val="ru-RU" w:eastAsia="zh-CN"/>
    </w:rPr>
  </w:style>
  <w:style w:type="character" w:styleId="737" w:customStyle="1">
    <w:name w:val="Абзац списку Знак"/>
    <w:link w:val="736"/>
    <w:uiPriority w:val="34"/>
    <w:qFormat/>
    <w:rPr>
      <w:rFonts w:ascii="Calibri" w:hAnsi="Calibri" w:eastAsia="Calibri" w:cs="Calibri"/>
      <w:lang w:eastAsia="zh-CN"/>
    </w:rPr>
  </w:style>
  <w:style w:type="table" w:styleId="738">
    <w:name w:val="Table Grid"/>
    <w:basedOn w:val="73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9" w:customStyle="1">
    <w:name w:val="Сетка таблицы2"/>
    <w:basedOn w:val="734"/>
    <w:next w:val="73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Normal (Web)"/>
    <w:basedOn w:val="729"/>
    <w:link w:val="747"/>
    <w:unhideWhenUsed/>
    <w:qFormat/>
    <w:rPr>
      <w:rFonts w:ascii="Times New Roman" w:hAnsi="Times New Roman" w:cs="Times New Roman"/>
      <w:sz w:val="24"/>
      <w:szCs w:val="24"/>
    </w:rPr>
  </w:style>
  <w:style w:type="table" w:styleId="741" w:customStyle="1">
    <w:name w:val="Сетка таблицы1"/>
    <w:basedOn w:val="734"/>
    <w:next w:val="73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Footer"/>
    <w:basedOn w:val="729"/>
    <w:link w:val="74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3" w:customStyle="1">
    <w:name w:val="Нижній колонтитул Знак"/>
    <w:basedOn w:val="733"/>
    <w:link w:val="742"/>
    <w:uiPriority w:val="99"/>
    <w:rPr>
      <w:rFonts w:ascii="Calibri" w:hAnsi="Calibri" w:eastAsia="Calibri" w:cs="Calibri"/>
      <w:lang w:eastAsia="zh-CN"/>
    </w:rPr>
  </w:style>
  <w:style w:type="paragraph" w:styleId="74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5">
    <w:name w:val="Hyperlink"/>
    <w:basedOn w:val="733"/>
    <w:uiPriority w:val="99"/>
    <w:unhideWhenUsed/>
    <w:rPr>
      <w:color w:val="0563c1" w:themeColor="hyperlink"/>
      <w:u w:val="single"/>
    </w:rPr>
  </w:style>
  <w:style w:type="character" w:styleId="746" w:customStyle="1">
    <w:name w:val="xfm_93972720"/>
    <w:basedOn w:val="733"/>
  </w:style>
  <w:style w:type="character" w:styleId="747" w:customStyle="1">
    <w:name w:val="Звичайний (веб) Знак"/>
    <w:link w:val="740"/>
    <w:qFormat/>
    <w:rPr>
      <w:rFonts w:ascii="Times New Roman" w:hAnsi="Times New Roman" w:cs="Times New Roman"/>
      <w:sz w:val="24"/>
      <w:szCs w:val="24"/>
      <w:lang w:val="uk-UA"/>
    </w:rPr>
  </w:style>
  <w:style w:type="paragraph" w:styleId="748">
    <w:name w:val="Body Text 2"/>
    <w:basedOn w:val="729"/>
    <w:link w:val="749"/>
    <w:pPr>
      <w:spacing w:after="0" w:line="240" w:lineRule="auto"/>
    </w:pPr>
    <w:rPr>
      <w:rFonts w:ascii="Times New Roman" w:hAnsi="Times New Roman" w:eastAsia="Times New Roman" w:cs="Times New Roman"/>
      <w:sz w:val="28"/>
      <w:szCs w:val="20"/>
      <w:lang w:val="ru-RU" w:eastAsia="ru-RU"/>
    </w:rPr>
  </w:style>
  <w:style w:type="character" w:styleId="749" w:customStyle="1">
    <w:name w:val="Основний текст 2 Знак"/>
    <w:basedOn w:val="733"/>
    <w:link w:val="748"/>
    <w:rPr>
      <w:rFonts w:ascii="Times New Roman" w:hAnsi="Times New Roman" w:eastAsia="Times New Roman" w:cs="Times New Roman"/>
      <w:sz w:val="28"/>
      <w:szCs w:val="20"/>
      <w:lang w:eastAsia="ru-RU"/>
    </w:rPr>
  </w:style>
  <w:style w:type="paragraph" w:styleId="75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1" w:customStyle="1">
    <w:name w:val="Заголовок 2 Знак"/>
    <w:basedOn w:val="733"/>
    <w:link w:val="730"/>
    <w:uiPriority w:val="9"/>
    <w:rPr>
      <w:rFonts w:ascii="Times New Roman" w:hAnsi="Times New Roman" w:eastAsia="Times New Roman" w:cs="Times New Roman"/>
      <w:b/>
      <w:bCs/>
      <w:sz w:val="36"/>
      <w:szCs w:val="36"/>
      <w:lang w:val="uk-UA" w:eastAsia="uk-UA"/>
    </w:rPr>
  </w:style>
  <w:style w:type="paragraph" w:styleId="752">
    <w:name w:val="No Spacing"/>
    <w:link w:val="753"/>
    <w:uiPriority w:val="1"/>
    <w:qFormat/>
    <w:pPr>
      <w:spacing w:after="0" w:line="240" w:lineRule="auto"/>
    </w:pPr>
    <w:rPr>
      <w:rFonts w:ascii="Calibri" w:hAnsi="Calibri" w:eastAsia="Calibri" w:cs="Times New Roman"/>
      <w:lang w:val="uk-UA"/>
    </w:rPr>
  </w:style>
  <w:style w:type="character" w:styleId="753" w:customStyle="1">
    <w:name w:val="Без інтервалів Знак"/>
    <w:basedOn w:val="733"/>
    <w:link w:val="752"/>
    <w:uiPriority w:val="1"/>
    <w:rPr>
      <w:rFonts w:ascii="Calibri" w:hAnsi="Calibri" w:eastAsia="Calibri" w:cs="Times New Roman"/>
      <w:lang w:val="uk-UA"/>
    </w:rPr>
  </w:style>
  <w:style w:type="character" w:styleId="754" w:customStyle="1">
    <w:name w:val="Другое_"/>
    <w:basedOn w:val="733"/>
    <w:link w:val="755"/>
    <w:rPr>
      <w:rFonts w:ascii="Calibri" w:hAnsi="Calibri" w:eastAsia="Calibri" w:cs="Calibri"/>
      <w:sz w:val="20"/>
      <w:szCs w:val="20"/>
    </w:rPr>
  </w:style>
  <w:style w:type="paragraph" w:styleId="755" w:customStyle="1">
    <w:name w:val="Другое"/>
    <w:basedOn w:val="729"/>
    <w:link w:val="754"/>
    <w:qFormat/>
    <w:pPr>
      <w:spacing w:after="0" w:line="240" w:lineRule="auto"/>
      <w:widowControl w:val="off"/>
    </w:pPr>
    <w:rPr>
      <w:rFonts w:ascii="Calibri" w:hAnsi="Calibri" w:eastAsia="Calibri" w:cs="Calibri"/>
      <w:sz w:val="20"/>
      <w:szCs w:val="20"/>
      <w:lang w:val="ru-RU"/>
    </w:rPr>
  </w:style>
  <w:style w:type="paragraph" w:styleId="75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7" w:customStyle="1">
    <w:name w:val="Основной текст (2)_"/>
    <w:basedOn w:val="733"/>
    <w:link w:val="758"/>
    <w:rPr>
      <w:rFonts w:eastAsia="Times New Roman" w:cs="Times New Roman"/>
      <w:shd w:val="clear" w:color="auto" w:fill="ffffff"/>
    </w:rPr>
  </w:style>
  <w:style w:type="paragraph" w:styleId="758" w:customStyle="1">
    <w:name w:val="Основной текст (2)"/>
    <w:basedOn w:val="729"/>
    <w:link w:val="757"/>
    <w:pPr>
      <w:ind w:hanging="700"/>
      <w:jc w:val="both"/>
      <w:spacing w:before="240" w:after="480" w:line="0" w:lineRule="atLeast"/>
      <w:shd w:val="clear" w:color="auto" w:fill="ffffff"/>
      <w:widowControl w:val="off"/>
    </w:pPr>
    <w:rPr>
      <w:rFonts w:eastAsia="Times New Roman" w:cs="Times New Roman"/>
      <w:lang w:val="ru-RU"/>
    </w:rPr>
  </w:style>
  <w:style w:type="character" w:styleId="759" w:customStyle="1">
    <w:name w:val="Текст у виносці Знак"/>
    <w:basedOn w:val="733"/>
    <w:link w:val="760"/>
    <w:uiPriority w:val="99"/>
    <w:semiHidden/>
    <w:rPr>
      <w:rFonts w:ascii="Segoe UI" w:hAnsi="Segoe UI" w:eastAsia="Times New Roman" w:cs="Segoe UI"/>
      <w:sz w:val="18"/>
      <w:szCs w:val="18"/>
      <w:lang w:eastAsia="ru-RU"/>
    </w:rPr>
  </w:style>
  <w:style w:type="paragraph" w:styleId="760">
    <w:name w:val="Balloon Text"/>
    <w:basedOn w:val="729"/>
    <w:link w:val="75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1" w:customStyle="1">
    <w:name w:val="Текст у виносці Знак1"/>
    <w:basedOn w:val="733"/>
    <w:uiPriority w:val="99"/>
    <w:semiHidden/>
    <w:rPr>
      <w:rFonts w:ascii="Segoe UI" w:hAnsi="Segoe UI" w:cs="Segoe UI"/>
      <w:sz w:val="18"/>
      <w:szCs w:val="18"/>
      <w:lang w:val="uk-UA"/>
    </w:rPr>
  </w:style>
  <w:style w:type="character" w:styleId="762" w:customStyle="1">
    <w:name w:val="T23"/>
    <w:rPr>
      <w:rFonts w:hint="default" w:ascii="Times New Roman" w:hAnsi="Times New Roman" w:eastAsia="Times New Roman1" w:cs="Times New Roman"/>
    </w:rPr>
  </w:style>
  <w:style w:type="paragraph" w:styleId="763" w:customStyle="1">
    <w:name w:val="Абзац списку1"/>
    <w:basedOn w:val="72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4" w:customStyle="1">
    <w:name w:val="markedcontent"/>
    <w:basedOn w:val="733"/>
  </w:style>
  <w:style w:type="paragraph" w:styleId="765">
    <w:name w:val="annotation text"/>
    <w:basedOn w:val="729"/>
    <w:link w:val="76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6" w:customStyle="1">
    <w:name w:val="Текст примітки Знак"/>
    <w:basedOn w:val="733"/>
    <w:link w:val="765"/>
    <w:uiPriority w:val="99"/>
    <w:rPr>
      <w:rFonts w:ascii="Times New Roman" w:hAnsi="Times New Roman" w:eastAsia="Times New Roman" w:cs="Times New Roman"/>
      <w:sz w:val="20"/>
      <w:szCs w:val="20"/>
      <w:lang w:eastAsia="ru-RU"/>
    </w:rPr>
  </w:style>
  <w:style w:type="character" w:styleId="767" w:customStyle="1">
    <w:name w:val="docdata"/>
    <w:basedOn w:val="733"/>
  </w:style>
  <w:style w:type="character" w:styleId="768" w:customStyle="1">
    <w:name w:val="Заголовок 3 Знак"/>
    <w:basedOn w:val="733"/>
    <w:link w:val="731"/>
    <w:uiPriority w:val="9"/>
    <w:semiHidden/>
    <w:rPr>
      <w:rFonts w:asciiTheme="majorHAnsi" w:hAnsiTheme="majorHAnsi" w:eastAsiaTheme="majorEastAsia" w:cstheme="majorBidi"/>
      <w:color w:val="1f4d78" w:themeColor="accent1" w:themeShade="7F"/>
      <w:sz w:val="24"/>
      <w:szCs w:val="24"/>
      <w:lang w:val="uk-UA"/>
    </w:rPr>
  </w:style>
  <w:style w:type="character" w:styleId="769" w:customStyle="1">
    <w:name w:val="Заголовок 4 Знак"/>
    <w:basedOn w:val="733"/>
    <w:link w:val="732"/>
    <w:uiPriority w:val="9"/>
    <w:semiHidden/>
    <w:rPr>
      <w:rFonts w:asciiTheme="majorHAnsi" w:hAnsiTheme="majorHAnsi" w:eastAsiaTheme="majorEastAsia" w:cstheme="majorBidi"/>
      <w:i/>
      <w:iCs/>
      <w:color w:val="2e74b5" w:themeColor="accent1" w:themeShade="BF"/>
      <w:lang w:val="uk-UA"/>
    </w:rPr>
  </w:style>
  <w:style w:type="paragraph" w:styleId="770" w:customStyle="1">
    <w:name w:val="name-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cont-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2">
    <w:name w:val="Strong"/>
    <w:basedOn w:val="733"/>
    <w:uiPriority w:val="22"/>
    <w:qFormat/>
    <w:rPr>
      <w:b/>
      <w:bCs/>
    </w:rPr>
  </w:style>
  <w:style w:type="paragraph" w:styleId="773" w:customStyle="1">
    <w:name w:val="rvps6"/>
    <w:basedOn w:val="72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175</cp:revision>
  <dcterms:created xsi:type="dcterms:W3CDTF">2022-11-01T12:47:00Z</dcterms:created>
  <dcterms:modified xsi:type="dcterms:W3CDTF">2024-08-10T08:35:30Z</dcterms:modified>
</cp:coreProperties>
</file>