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71322240"/>
      <w:r>
        <w:rPr>
          <w:b w:val="0"/>
          <w:bCs w:val="0"/>
          <w:color w:val="000000"/>
          <w:spacing w:val="-1"/>
          <w:sz w:val="24"/>
          <w:szCs w:val="24"/>
          <w:lang w:eastAsia="ru-RU"/>
        </w:rPr>
        <w:t xml:space="preserve">Послуги з прокладання слабо-точних ліній зв’язку аналогової телефонії</w:t>
      </w:r>
      <w:r>
        <w:rPr>
          <w:b w:val="0"/>
          <w:bCs w:val="0"/>
          <w:spacing w:val="1"/>
          <w:sz w:val="24"/>
          <w:szCs w:val="24"/>
        </w:rPr>
        <w:t xml:space="preserve"> за код ДК 021:2015 45310000-3 «</w:t>
      </w:r>
      <w:r>
        <w:rPr>
          <w:b w:val="0"/>
          <w:bCs w:val="0"/>
          <w:sz w:val="24"/>
          <w:szCs w:val="24"/>
        </w:rPr>
        <w:t xml:space="preserve">Електромонтажні роботи</w:t>
      </w:r>
      <w:r>
        <w:rPr>
          <w:b w:val="0"/>
          <w:bCs w:val="0"/>
          <w:spacing w:val="1"/>
          <w:sz w:val="24"/>
          <w:szCs w:val="24"/>
        </w:rPr>
        <w:t xml:space="preserve">»</w:t>
      </w:r>
      <w:bookmarkEnd w:id="0"/>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7251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
          <w:bCs/>
          <w:color w:val="000000"/>
          <w:spacing w:val="-1"/>
          <w:sz w:val="24"/>
          <w:szCs w:val="24"/>
          <w:lang w:eastAsia="ru-RU"/>
        </w:rPr>
        <w:t xml:space="preserve">Послуги з прокладання слабо-точних ліній зв’язку аналогової телефонії</w:t>
      </w:r>
      <w:r>
        <w:rPr>
          <w:rFonts w:ascii="Times New Roman" w:hAnsi="Times New Roman" w:cs="Times New Roman"/>
          <w:b/>
          <w:bCs/>
          <w:spacing w:val="1"/>
          <w:sz w:val="24"/>
          <w:szCs w:val="24"/>
        </w:rPr>
        <w:t xml:space="preserve"> за код ДК 021:2015 45310000-3 «</w:t>
      </w:r>
      <w:r>
        <w:rPr>
          <w:rFonts w:ascii="Times New Roman" w:hAnsi="Times New Roman" w:cs="Times New Roman"/>
          <w:b/>
          <w:bCs/>
          <w:sz w:val="24"/>
          <w:szCs w:val="24"/>
        </w:rPr>
        <w:t xml:space="preserve">Електромонтажні роботи</w:t>
      </w:r>
      <w:r>
        <w:rPr>
          <w:rFonts w:ascii="Times New Roman" w:hAnsi="Times New Roman" w:cs="Times New Roman"/>
          <w:b/>
          <w:bCs/>
          <w:spacing w:val="1"/>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2"/>
        <w:jc w:val="center"/>
        <w:spacing w:before="0" w:beforeAutospacing="0" w:after="0" w:afterAutospacing="0"/>
        <w:shd w:val="clear" w:color="auto" w:fill="ffffff" w:themeFill="background1"/>
        <w:rPr>
          <w:spacing w:val="1"/>
          <w:sz w:val="28"/>
          <w:szCs w:val="28"/>
        </w:rPr>
      </w:pPr>
      <w:r>
        <w:rPr>
          <w:spacing w:val="1"/>
          <w:sz w:val="28"/>
          <w:szCs w:val="28"/>
        </w:rPr>
      </w:r>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4799"/>
        <w:gridCol w:w="1845"/>
        <w:gridCol w:w="2126"/>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479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4799" w:type="dxa"/>
            <w:textDirection w:val="lrTb"/>
            <w:noWrap w:val="false"/>
          </w:tcPr>
          <w:p>
            <w:pPr>
              <w:jc w:val="both"/>
              <w:spacing w:after="0" w:line="240" w:lineRule="auto"/>
              <w:tabs>
                <w:tab w:val="left" w:pos="142" w:leader="none"/>
              </w:tabs>
              <w:rPr>
                <w:rFonts w:ascii="Times New Roman" w:hAnsi="Times New Roman" w:cs="Times New Roman"/>
                <w:b/>
                <w:bCs/>
                <w:sz w:val="24"/>
                <w:szCs w:val="24"/>
              </w:rPr>
            </w:pPr>
            <w:r>
              <w:rPr>
                <w:rFonts w:ascii="Times New Roman" w:hAnsi="Times New Roman" w:cs="Times New Roman"/>
                <w:b/>
                <w:bCs/>
                <w:color w:val="000000"/>
                <w:spacing w:val="-1"/>
                <w:sz w:val="24"/>
                <w:szCs w:val="24"/>
              </w:rPr>
              <w:t xml:space="preserve">Прокладання слабо-точних ліній зв’язку аналогової телефонії</w:t>
            </w:r>
            <w:r/>
          </w:p>
        </w:tc>
        <w:tc>
          <w:tcPr>
            <w:tcBorders>
              <w:top w:val="single" w:color="000000" w:sz="4" w:space="0"/>
              <w:left w:val="single" w:color="000000" w:sz="4" w:space="0"/>
              <w:bottom w:val="single" w:color="000000" w:sz="4" w:space="0"/>
              <w:right w:val="single" w:color="000000" w:sz="4" w:space="0"/>
            </w:tcBorders>
            <w:tcW w:w="1845"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r>
    </w:tbl>
    <w:p>
      <w:pPr>
        <w:pStyle w:val="732"/>
        <w:spacing w:before="0" w:beforeAutospacing="0" w:after="0" w:afterAutospacing="0"/>
        <w:shd w:val="clear" w:color="auto" w:fill="ffffff" w:themeFill="background1"/>
        <w:rPr>
          <w:spacing w:val="1"/>
          <w:sz w:val="24"/>
          <w:szCs w:val="24"/>
        </w:rPr>
      </w:pPr>
      <w:r>
        <w:rPr>
          <w:spacing w:val="1"/>
          <w:sz w:val="24"/>
          <w:szCs w:val="24"/>
        </w:rPr>
      </w:r>
      <w:r/>
    </w:p>
    <w:p>
      <w:pPr>
        <w:ind w:left="708"/>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p>
    <w:tbl>
      <w:tblPr>
        <w:tblStyle w:val="777"/>
        <w:tblW w:w="9562" w:type="dxa"/>
        <w:tblInd w:w="137" w:type="dxa"/>
        <w:tblLook w:val="04A0" w:firstRow="1" w:lastRow="0" w:firstColumn="1" w:lastColumn="0" w:noHBand="0" w:noVBand="1"/>
      </w:tblPr>
      <w:tblGrid>
        <w:gridCol w:w="567"/>
        <w:gridCol w:w="6237"/>
        <w:gridCol w:w="1417"/>
        <w:gridCol w:w="1341"/>
      </w:tblGrid>
      <w:tr>
        <w:trPr/>
        <w:tc>
          <w:tcPr>
            <w:gridSpan w:val="4"/>
            <w:tcW w:w="9562" w:type="dxa"/>
            <w:textDirection w:val="lrTb"/>
            <w:noWrap w:val="false"/>
          </w:tcPr>
          <w:p>
            <w:pPr>
              <w:rPr>
                <w:b/>
                <w:sz w:val="24"/>
                <w:szCs w:val="24"/>
              </w:rPr>
            </w:pPr>
            <w:r>
              <w:rPr>
                <w:b/>
                <w:sz w:val="24"/>
                <w:szCs w:val="24"/>
              </w:rPr>
              <w:t xml:space="preserve">1. Обладнання та матеріали (орієнтовний перелік):</w:t>
            </w:r>
            <w:r/>
          </w:p>
        </w:tc>
      </w:tr>
      <w:tr>
        <w:trPr/>
        <w:tc>
          <w:tcPr>
            <w:shd w:val="clear" w:color="auto" w:fill="auto"/>
            <w:tcBorders>
              <w:top w:val="single" w:color="auto" w:sz="8" w:space="0"/>
              <w:left w:val="single" w:color="auto" w:sz="8" w:space="0"/>
              <w:bottom w:val="single" w:color="auto" w:sz="8" w:space="0"/>
              <w:right w:val="single" w:color="auto" w:sz="4" w:space="0"/>
            </w:tcBorders>
            <w:tcW w:w="567" w:type="dxa"/>
            <w:vAlign w:val="center"/>
            <w:textDirection w:val="lrTb"/>
            <w:noWrap w:val="false"/>
          </w:tcPr>
          <w:p>
            <w:pPr>
              <w:jc w:val="center"/>
              <w:rPr>
                <w:sz w:val="24"/>
                <w:szCs w:val="24"/>
              </w:rPr>
            </w:pPr>
            <w:r>
              <w:rPr>
                <w:bCs/>
                <w:sz w:val="24"/>
                <w:szCs w:val="24"/>
                <w:lang w:eastAsia="uk-UA"/>
              </w:rPr>
              <w:t xml:space="preserve">№ з/п</w:t>
            </w:r>
            <w:r/>
          </w:p>
        </w:tc>
        <w:tc>
          <w:tcPr>
            <w:shd w:val="clear" w:color="auto" w:fill="auto"/>
            <w:tcBorders>
              <w:top w:val="single" w:color="auto" w:sz="8" w:space="0"/>
              <w:left w:val="none" w:color="000000" w:sz="4" w:space="0"/>
              <w:bottom w:val="single" w:color="auto" w:sz="8" w:space="0"/>
              <w:right w:val="single" w:color="auto" w:sz="4" w:space="0"/>
            </w:tcBorders>
            <w:tcW w:w="6237" w:type="dxa"/>
            <w:vAlign w:val="center"/>
            <w:textDirection w:val="lrTb"/>
            <w:noWrap w:val="false"/>
          </w:tcPr>
          <w:p>
            <w:pPr>
              <w:rPr>
                <w:sz w:val="24"/>
                <w:szCs w:val="24"/>
              </w:rPr>
            </w:pPr>
            <w:r>
              <w:rPr>
                <w:bCs/>
                <w:sz w:val="24"/>
                <w:szCs w:val="24"/>
                <w:lang w:eastAsia="uk-UA"/>
              </w:rPr>
              <w:t xml:space="preserve">Найменування обладнання</w:t>
            </w:r>
            <w:r/>
          </w:p>
        </w:tc>
        <w:tc>
          <w:tcPr>
            <w:shd w:val="clear" w:color="auto" w:fill="auto"/>
            <w:tcBorders>
              <w:top w:val="single" w:color="auto" w:sz="8" w:space="0"/>
              <w:left w:val="none" w:color="000000" w:sz="4" w:space="0"/>
              <w:bottom w:val="single" w:color="auto" w:sz="8" w:space="0"/>
              <w:right w:val="single" w:color="auto" w:sz="4" w:space="0"/>
            </w:tcBorders>
            <w:tcW w:w="1417" w:type="dxa"/>
            <w:vAlign w:val="center"/>
            <w:textDirection w:val="lrTb"/>
            <w:noWrap w:val="false"/>
          </w:tcPr>
          <w:p>
            <w:pPr>
              <w:jc w:val="center"/>
              <w:rPr>
                <w:sz w:val="24"/>
                <w:szCs w:val="24"/>
              </w:rPr>
            </w:pPr>
            <w:r>
              <w:rPr>
                <w:bCs/>
                <w:sz w:val="24"/>
                <w:szCs w:val="24"/>
                <w:lang w:eastAsia="uk-UA"/>
              </w:rPr>
              <w:t xml:space="preserve">Одиниця виміру</w:t>
            </w:r>
            <w:r/>
          </w:p>
        </w:tc>
        <w:tc>
          <w:tcPr>
            <w:shd w:val="clear" w:color="auto" w:fill="auto"/>
            <w:tcBorders>
              <w:top w:val="single" w:color="auto" w:sz="8" w:space="0"/>
              <w:left w:val="none" w:color="000000" w:sz="4" w:space="0"/>
              <w:bottom w:val="single" w:color="auto" w:sz="8" w:space="0"/>
              <w:right w:val="single" w:color="auto" w:sz="4" w:space="0"/>
            </w:tcBorders>
            <w:tcW w:w="1341" w:type="dxa"/>
            <w:vAlign w:val="center"/>
            <w:textDirection w:val="lrTb"/>
            <w:noWrap w:val="false"/>
          </w:tcPr>
          <w:p>
            <w:pPr>
              <w:jc w:val="center"/>
              <w:rPr>
                <w:sz w:val="24"/>
                <w:szCs w:val="24"/>
              </w:rPr>
            </w:pPr>
            <w:r>
              <w:rPr>
                <w:bCs/>
                <w:sz w:val="24"/>
                <w:szCs w:val="24"/>
                <w:lang w:eastAsia="uk-UA"/>
              </w:rPr>
              <w:t xml:space="preserve">Кількість</w:t>
            </w:r>
            <w:r/>
          </w:p>
        </w:tc>
      </w:tr>
      <w:tr>
        <w:trPr/>
        <w:tc>
          <w:tcPr>
            <w:tcW w:w="567" w:type="dxa"/>
            <w:textDirection w:val="lrTb"/>
            <w:noWrap w:val="false"/>
          </w:tcPr>
          <w:p>
            <w:pPr>
              <w:jc w:val="center"/>
              <w:rPr>
                <w:sz w:val="24"/>
                <w:szCs w:val="24"/>
              </w:rPr>
            </w:pPr>
            <w:r>
              <w:rPr>
                <w:sz w:val="24"/>
                <w:szCs w:val="24"/>
              </w:rPr>
              <w:t xml:space="preserve">1</w:t>
            </w:r>
            <w:r/>
          </w:p>
        </w:tc>
        <w:tc>
          <w:tcPr>
            <w:tcW w:w="6237" w:type="dxa"/>
            <w:vAlign w:val="center"/>
            <w:textDirection w:val="lrTb"/>
            <w:noWrap w:val="false"/>
          </w:tcPr>
          <w:p>
            <w:pPr>
              <w:rPr>
                <w:sz w:val="24"/>
                <w:szCs w:val="24"/>
              </w:rPr>
            </w:pPr>
            <w:r>
              <w:rPr>
                <w:sz w:val="24"/>
                <w:szCs w:val="24"/>
              </w:rPr>
              <w:t xml:space="preserve">Кабель CAT-5E 4x2x0,5 (мідь)</w:t>
            </w:r>
            <w:r/>
          </w:p>
        </w:tc>
        <w:tc>
          <w:tcPr>
            <w:tcW w:w="1417" w:type="dxa"/>
            <w:vAlign w:val="center"/>
            <w:textDirection w:val="lrTb"/>
            <w:noWrap w:val="false"/>
          </w:tcPr>
          <w:p>
            <w:pPr>
              <w:jc w:val="center"/>
              <w:rPr>
                <w:sz w:val="24"/>
                <w:szCs w:val="24"/>
              </w:rPr>
            </w:pPr>
            <w:r>
              <w:rPr>
                <w:sz w:val="24"/>
                <w:szCs w:val="24"/>
              </w:rPr>
              <w:t xml:space="preserve">м</w:t>
            </w:r>
            <w:r/>
          </w:p>
        </w:tc>
        <w:tc>
          <w:tcPr>
            <w:tcW w:w="1341" w:type="dxa"/>
            <w:vAlign w:val="bottom"/>
            <w:textDirection w:val="lrTb"/>
            <w:noWrap w:val="false"/>
          </w:tcPr>
          <w:p>
            <w:pPr>
              <w:jc w:val="center"/>
              <w:rPr>
                <w:sz w:val="24"/>
                <w:szCs w:val="24"/>
                <w:lang w:val="en-US"/>
              </w:rPr>
            </w:pPr>
            <w:r>
              <w:rPr>
                <w:sz w:val="24"/>
                <w:szCs w:val="24"/>
                <w:lang w:val="en-US"/>
              </w:rPr>
              <w:t xml:space="preserve">420</w:t>
            </w:r>
            <w:r/>
          </w:p>
        </w:tc>
      </w:tr>
      <w:tr>
        <w:trPr/>
        <w:tc>
          <w:tcPr>
            <w:tcW w:w="567" w:type="dxa"/>
            <w:textDirection w:val="lrTb"/>
            <w:noWrap w:val="false"/>
          </w:tcPr>
          <w:p>
            <w:pPr>
              <w:jc w:val="center"/>
              <w:rPr>
                <w:sz w:val="24"/>
                <w:szCs w:val="24"/>
              </w:rPr>
            </w:pPr>
            <w:r>
              <w:rPr>
                <w:sz w:val="24"/>
                <w:szCs w:val="24"/>
              </w:rPr>
              <w:t xml:space="preserve">2</w:t>
            </w:r>
            <w:r/>
          </w:p>
        </w:tc>
        <w:tc>
          <w:tcPr>
            <w:tcW w:w="6237" w:type="dxa"/>
            <w:vAlign w:val="center"/>
            <w:textDirection w:val="lrTb"/>
            <w:noWrap w:val="false"/>
          </w:tcPr>
          <w:p>
            <w:pPr>
              <w:rPr>
                <w:sz w:val="24"/>
                <w:szCs w:val="24"/>
              </w:rPr>
            </w:pPr>
            <w:r>
              <w:rPr>
                <w:sz w:val="24"/>
                <w:szCs w:val="24"/>
              </w:rPr>
              <w:t xml:space="preserve">Патч</w:t>
            </w:r>
            <w:r>
              <w:rPr>
                <w:sz w:val="24"/>
                <w:szCs w:val="24"/>
              </w:rPr>
              <w:t xml:space="preserve"> панель модульна UTP 24 </w:t>
            </w:r>
            <w:r>
              <w:rPr>
                <w:sz w:val="24"/>
                <w:szCs w:val="24"/>
              </w:rPr>
              <w:t xml:space="preserve">порта</w:t>
            </w:r>
            <w:r>
              <w:rPr>
                <w:sz w:val="24"/>
                <w:szCs w:val="24"/>
              </w:rPr>
              <w:t xml:space="preserve"> 1U 19", без модулів або еквівалент</w:t>
            </w:r>
            <w:r/>
          </w:p>
        </w:tc>
        <w:tc>
          <w:tcPr>
            <w:tcW w:w="1417" w:type="dxa"/>
            <w:vAlign w:val="center"/>
            <w:textDirection w:val="lrTb"/>
            <w:noWrap w:val="false"/>
          </w:tcPr>
          <w:p>
            <w:pPr>
              <w:jc w:val="center"/>
              <w:rPr>
                <w:sz w:val="24"/>
                <w:szCs w:val="24"/>
              </w:rPr>
            </w:pPr>
            <w:r>
              <w:rPr>
                <w:sz w:val="24"/>
                <w:szCs w:val="24"/>
              </w:rPr>
              <w:t xml:space="preserve">шт</w:t>
            </w:r>
            <w:r/>
          </w:p>
        </w:tc>
        <w:tc>
          <w:tcPr>
            <w:tcW w:w="1341" w:type="dxa"/>
            <w:vAlign w:val="bottom"/>
            <w:textDirection w:val="lrTb"/>
            <w:noWrap w:val="false"/>
          </w:tcPr>
          <w:p>
            <w:pPr>
              <w:jc w:val="center"/>
              <w:rPr>
                <w:sz w:val="24"/>
                <w:szCs w:val="24"/>
              </w:rPr>
            </w:pPr>
            <w:r>
              <w:rPr>
                <w:sz w:val="24"/>
                <w:szCs w:val="24"/>
              </w:rPr>
              <w:t xml:space="preserve">2</w:t>
            </w:r>
            <w:r/>
          </w:p>
        </w:tc>
      </w:tr>
      <w:tr>
        <w:trPr/>
        <w:tc>
          <w:tcPr>
            <w:tcW w:w="567" w:type="dxa"/>
            <w:textDirection w:val="lrTb"/>
            <w:noWrap w:val="false"/>
          </w:tcPr>
          <w:p>
            <w:pPr>
              <w:jc w:val="center"/>
              <w:rPr>
                <w:sz w:val="24"/>
                <w:szCs w:val="24"/>
              </w:rPr>
            </w:pPr>
            <w:r>
              <w:rPr>
                <w:sz w:val="24"/>
                <w:szCs w:val="24"/>
              </w:rPr>
              <w:t xml:space="preserve">3.</w:t>
            </w:r>
            <w:r/>
          </w:p>
        </w:tc>
        <w:tc>
          <w:tcPr>
            <w:tcW w:w="6237" w:type="dxa"/>
            <w:vAlign w:val="center"/>
            <w:textDirection w:val="lrTb"/>
            <w:noWrap w:val="false"/>
          </w:tcPr>
          <w:p>
            <w:pPr>
              <w:rPr>
                <w:sz w:val="24"/>
                <w:szCs w:val="24"/>
              </w:rPr>
            </w:pPr>
            <w:r>
              <w:rPr>
                <w:sz w:val="24"/>
                <w:szCs w:val="24"/>
              </w:rPr>
              <w:t xml:space="preserve">Модуль </w:t>
            </w:r>
            <w:r>
              <w:rPr>
                <w:sz w:val="24"/>
                <w:szCs w:val="24"/>
              </w:rPr>
              <w:t xml:space="preserve">KeyStone</w:t>
            </w:r>
            <w:r>
              <w:rPr>
                <w:sz w:val="24"/>
                <w:szCs w:val="24"/>
              </w:rPr>
              <w:t xml:space="preserve"> RJ-45 UTP, кат.5е</w:t>
            </w:r>
            <w:r/>
          </w:p>
        </w:tc>
        <w:tc>
          <w:tcPr>
            <w:tcW w:w="1417" w:type="dxa"/>
            <w:vAlign w:val="center"/>
            <w:textDirection w:val="lrTb"/>
            <w:noWrap w:val="false"/>
          </w:tcPr>
          <w:p>
            <w:pPr>
              <w:jc w:val="center"/>
              <w:rPr>
                <w:sz w:val="24"/>
                <w:szCs w:val="24"/>
              </w:rPr>
            </w:pPr>
            <w:r>
              <w:rPr>
                <w:sz w:val="24"/>
                <w:szCs w:val="24"/>
              </w:rPr>
              <w:t xml:space="preserve">шт</w:t>
            </w:r>
            <w:r/>
          </w:p>
        </w:tc>
        <w:tc>
          <w:tcPr>
            <w:tcW w:w="1341" w:type="dxa"/>
            <w:vAlign w:val="bottom"/>
            <w:textDirection w:val="lrTb"/>
            <w:noWrap w:val="false"/>
          </w:tcPr>
          <w:p>
            <w:pPr>
              <w:jc w:val="center"/>
              <w:rPr>
                <w:sz w:val="24"/>
                <w:szCs w:val="24"/>
                <w:lang w:val="en-US"/>
              </w:rPr>
            </w:pPr>
            <w:r>
              <w:rPr>
                <w:sz w:val="24"/>
                <w:szCs w:val="24"/>
                <w:lang w:val="en-US"/>
              </w:rPr>
              <w:t xml:space="preserve">12</w:t>
            </w:r>
            <w:r/>
          </w:p>
        </w:tc>
      </w:tr>
      <w:tr>
        <w:trPr/>
        <w:tc>
          <w:tcPr>
            <w:tcW w:w="567" w:type="dxa"/>
            <w:textDirection w:val="lrTb"/>
            <w:noWrap w:val="false"/>
          </w:tcPr>
          <w:p>
            <w:pPr>
              <w:jc w:val="center"/>
              <w:rPr>
                <w:sz w:val="24"/>
                <w:szCs w:val="24"/>
              </w:rPr>
            </w:pPr>
            <w:r>
              <w:rPr>
                <w:sz w:val="24"/>
                <w:szCs w:val="24"/>
              </w:rPr>
              <w:t xml:space="preserve">4.</w:t>
            </w:r>
            <w:r/>
          </w:p>
        </w:tc>
        <w:tc>
          <w:tcPr>
            <w:tcW w:w="6237" w:type="dxa"/>
            <w:vAlign w:val="center"/>
            <w:textDirection w:val="lrTb"/>
            <w:noWrap w:val="false"/>
          </w:tcPr>
          <w:p>
            <w:pPr>
              <w:rPr>
                <w:sz w:val="24"/>
                <w:szCs w:val="24"/>
              </w:rPr>
            </w:pPr>
            <w:r>
              <w:rPr>
                <w:color w:val="000000"/>
                <w:sz w:val="24"/>
                <w:szCs w:val="24"/>
              </w:rPr>
              <w:t xml:space="preserve">Патч</w:t>
            </w:r>
            <w:r>
              <w:rPr>
                <w:color w:val="000000"/>
                <w:sz w:val="24"/>
                <w:szCs w:val="24"/>
              </w:rPr>
              <w:t xml:space="preserve">-корд </w:t>
            </w:r>
            <w:r>
              <w:rPr>
                <w:sz w:val="24"/>
                <w:szCs w:val="24"/>
              </w:rPr>
              <w:t xml:space="preserve">UTP</w:t>
            </w:r>
            <w:r>
              <w:rPr>
                <w:color w:val="000000"/>
                <w:sz w:val="24"/>
                <w:szCs w:val="24"/>
              </w:rPr>
              <w:t xml:space="preserve"> 2м </w:t>
            </w:r>
            <w:r>
              <w:rPr>
                <w:sz w:val="24"/>
                <w:szCs w:val="24"/>
              </w:rPr>
              <w:t xml:space="preserve">RJ-45/RJ-12</w:t>
            </w:r>
            <w:r/>
          </w:p>
        </w:tc>
        <w:tc>
          <w:tcPr>
            <w:tcW w:w="1417" w:type="dxa"/>
            <w:vAlign w:val="center"/>
            <w:textDirection w:val="lrTb"/>
            <w:noWrap w:val="false"/>
          </w:tcPr>
          <w:p>
            <w:pPr>
              <w:jc w:val="center"/>
              <w:rPr>
                <w:sz w:val="24"/>
                <w:szCs w:val="24"/>
              </w:rPr>
            </w:pPr>
            <w:r>
              <w:rPr>
                <w:sz w:val="24"/>
                <w:szCs w:val="24"/>
              </w:rPr>
              <w:t xml:space="preserve">шт</w:t>
            </w:r>
            <w:r/>
          </w:p>
        </w:tc>
        <w:tc>
          <w:tcPr>
            <w:tcW w:w="1341" w:type="dxa"/>
            <w:vAlign w:val="bottom"/>
            <w:textDirection w:val="lrTb"/>
            <w:noWrap w:val="false"/>
          </w:tcPr>
          <w:p>
            <w:pPr>
              <w:jc w:val="center"/>
              <w:rPr>
                <w:sz w:val="24"/>
                <w:szCs w:val="24"/>
                <w:lang w:val="en-US"/>
              </w:rPr>
            </w:pPr>
            <w:r>
              <w:rPr>
                <w:sz w:val="24"/>
                <w:szCs w:val="24"/>
                <w:lang w:val="en-US"/>
              </w:rPr>
              <w:t xml:space="preserve">15</w:t>
            </w:r>
            <w:r/>
          </w:p>
        </w:tc>
      </w:tr>
      <w:tr>
        <w:trPr/>
        <w:tc>
          <w:tcPr>
            <w:tcW w:w="567" w:type="dxa"/>
            <w:textDirection w:val="lrTb"/>
            <w:noWrap w:val="false"/>
          </w:tcPr>
          <w:p>
            <w:pPr>
              <w:jc w:val="center"/>
              <w:rPr>
                <w:sz w:val="24"/>
                <w:szCs w:val="24"/>
                <w:lang w:val="en-US"/>
              </w:rPr>
            </w:pPr>
            <w:r>
              <w:rPr>
                <w:sz w:val="24"/>
                <w:szCs w:val="24"/>
              </w:rPr>
              <w:t xml:space="preserve">5</w:t>
            </w:r>
            <w:r>
              <w:rPr>
                <w:sz w:val="24"/>
                <w:szCs w:val="24"/>
                <w:lang w:val="en-US"/>
              </w:rPr>
              <w:t xml:space="preserve">.</w:t>
            </w:r>
            <w:r/>
          </w:p>
        </w:tc>
        <w:tc>
          <w:tcPr>
            <w:tcW w:w="6237" w:type="dxa"/>
            <w:vAlign w:val="center"/>
            <w:textDirection w:val="lrTb"/>
            <w:noWrap w:val="false"/>
          </w:tcPr>
          <w:p>
            <w:pPr>
              <w:rPr>
                <w:color w:val="000000"/>
                <w:sz w:val="24"/>
                <w:szCs w:val="24"/>
              </w:rPr>
            </w:pPr>
            <w:r>
              <w:rPr>
                <w:color w:val="000000"/>
                <w:sz w:val="24"/>
                <w:szCs w:val="24"/>
              </w:rPr>
              <w:t xml:space="preserve">Модуль мережевий RJ-45</w:t>
            </w:r>
            <w:r/>
          </w:p>
        </w:tc>
        <w:tc>
          <w:tcPr>
            <w:tcW w:w="1417" w:type="dxa"/>
            <w:vAlign w:val="center"/>
            <w:textDirection w:val="lrTb"/>
            <w:noWrap w:val="false"/>
          </w:tcPr>
          <w:p>
            <w:pPr>
              <w:jc w:val="center"/>
              <w:rPr>
                <w:sz w:val="24"/>
                <w:szCs w:val="24"/>
              </w:rPr>
            </w:pPr>
            <w:r>
              <w:rPr>
                <w:sz w:val="24"/>
                <w:szCs w:val="24"/>
              </w:rPr>
              <w:t xml:space="preserve">шт</w:t>
            </w:r>
            <w:r/>
          </w:p>
        </w:tc>
        <w:tc>
          <w:tcPr>
            <w:tcW w:w="1341" w:type="dxa"/>
            <w:vAlign w:val="bottom"/>
            <w:textDirection w:val="lrTb"/>
            <w:noWrap w:val="false"/>
          </w:tcPr>
          <w:p>
            <w:pPr>
              <w:jc w:val="center"/>
              <w:rPr>
                <w:sz w:val="24"/>
                <w:szCs w:val="24"/>
                <w:lang w:val="en-US"/>
              </w:rPr>
            </w:pPr>
            <w:r>
              <w:rPr>
                <w:sz w:val="24"/>
                <w:szCs w:val="24"/>
                <w:lang w:val="en-US"/>
              </w:rPr>
              <w:t xml:space="preserve">20</w:t>
            </w:r>
            <w:r/>
          </w:p>
        </w:tc>
      </w:tr>
      <w:tr>
        <w:trPr/>
        <w:tc>
          <w:tcPr>
            <w:tcW w:w="567" w:type="dxa"/>
            <w:textDirection w:val="lrTb"/>
            <w:noWrap w:val="false"/>
          </w:tcPr>
          <w:p>
            <w:pPr>
              <w:jc w:val="center"/>
              <w:rPr>
                <w:sz w:val="24"/>
                <w:szCs w:val="24"/>
                <w:lang w:val="en-US"/>
              </w:rPr>
            </w:pPr>
            <w:r>
              <w:rPr>
                <w:sz w:val="24"/>
                <w:szCs w:val="24"/>
                <w:lang w:val="en-US"/>
              </w:rPr>
              <w:t xml:space="preserve">6.</w:t>
            </w:r>
            <w:r/>
          </w:p>
        </w:tc>
        <w:tc>
          <w:tcPr>
            <w:tcW w:w="6237" w:type="dxa"/>
            <w:vAlign w:val="center"/>
            <w:textDirection w:val="lrTb"/>
            <w:noWrap w:val="false"/>
          </w:tcPr>
          <w:p>
            <w:pPr>
              <w:rPr>
                <w:color w:val="000000"/>
                <w:sz w:val="24"/>
                <w:szCs w:val="24"/>
              </w:rPr>
            </w:pPr>
            <w:r>
              <w:rPr>
                <w:color w:val="000000"/>
                <w:sz w:val="24"/>
                <w:szCs w:val="24"/>
              </w:rPr>
              <w:t xml:space="preserve">Модуль мережевий RJ-12</w:t>
            </w:r>
            <w:r/>
          </w:p>
        </w:tc>
        <w:tc>
          <w:tcPr>
            <w:tcW w:w="1417" w:type="dxa"/>
            <w:vAlign w:val="center"/>
            <w:textDirection w:val="lrTb"/>
            <w:noWrap w:val="false"/>
          </w:tcPr>
          <w:p>
            <w:pPr>
              <w:jc w:val="center"/>
              <w:rPr>
                <w:sz w:val="24"/>
                <w:szCs w:val="24"/>
              </w:rPr>
            </w:pPr>
            <w:r>
              <w:rPr>
                <w:sz w:val="24"/>
                <w:szCs w:val="24"/>
              </w:rPr>
              <w:t xml:space="preserve">шт</w:t>
            </w:r>
            <w:r/>
          </w:p>
        </w:tc>
        <w:tc>
          <w:tcPr>
            <w:tcW w:w="1341" w:type="dxa"/>
            <w:vAlign w:val="bottom"/>
            <w:textDirection w:val="lrTb"/>
            <w:noWrap w:val="false"/>
          </w:tcPr>
          <w:p>
            <w:pPr>
              <w:jc w:val="center"/>
              <w:rPr>
                <w:sz w:val="24"/>
                <w:szCs w:val="24"/>
              </w:rPr>
            </w:pPr>
            <w:r>
              <w:rPr>
                <w:sz w:val="24"/>
                <w:szCs w:val="24"/>
              </w:rPr>
              <w:t xml:space="preserve">20</w:t>
            </w:r>
            <w:r/>
          </w:p>
        </w:tc>
      </w:tr>
      <w:tr>
        <w:trPr/>
        <w:tc>
          <w:tcPr>
            <w:gridSpan w:val="4"/>
            <w:tcW w:w="9562" w:type="dxa"/>
            <w:textDirection w:val="lrTb"/>
            <w:noWrap w:val="false"/>
          </w:tcPr>
          <w:p>
            <w:pPr>
              <w:rPr>
                <w:b/>
                <w:sz w:val="24"/>
                <w:szCs w:val="24"/>
              </w:rPr>
            </w:pPr>
            <w:r>
              <w:rPr>
                <w:b/>
                <w:sz w:val="24"/>
                <w:szCs w:val="24"/>
              </w:rPr>
              <w:t xml:space="preserve">2. Перелік монтажних послуг:</w:t>
            </w:r>
            <w:r/>
          </w:p>
        </w:tc>
      </w:tr>
      <w:tr>
        <w:trPr/>
        <w:tc>
          <w:tcPr>
            <w:tcW w:w="567" w:type="dxa"/>
            <w:textDirection w:val="lrTb"/>
            <w:noWrap w:val="false"/>
          </w:tcPr>
          <w:p>
            <w:pPr>
              <w:jc w:val="center"/>
              <w:rPr>
                <w:sz w:val="24"/>
                <w:szCs w:val="24"/>
              </w:rPr>
            </w:pPr>
            <w:r>
              <w:rPr>
                <w:sz w:val="24"/>
                <w:szCs w:val="24"/>
              </w:rPr>
              <w:t xml:space="preserve">1</w:t>
            </w:r>
            <w:r/>
          </w:p>
        </w:tc>
        <w:tc>
          <w:tcPr>
            <w:tcW w:w="6237" w:type="dxa"/>
            <w:textDirection w:val="lrTb"/>
            <w:noWrap w:val="false"/>
          </w:tcPr>
          <w:p>
            <w:pPr>
              <w:rPr>
                <w:sz w:val="24"/>
                <w:szCs w:val="24"/>
              </w:rPr>
            </w:pPr>
            <w:r>
              <w:rPr>
                <w:sz w:val="24"/>
                <w:szCs w:val="24"/>
              </w:rPr>
              <w:t xml:space="preserve">Монтажні послуги</w:t>
            </w:r>
            <w:r/>
          </w:p>
        </w:tc>
        <w:tc>
          <w:tcPr>
            <w:tcW w:w="1417" w:type="dxa"/>
            <w:textDirection w:val="lrTb"/>
            <w:noWrap w:val="false"/>
          </w:tcPr>
          <w:p>
            <w:pPr>
              <w:jc w:val="center"/>
              <w:rPr>
                <w:sz w:val="24"/>
                <w:szCs w:val="24"/>
              </w:rPr>
            </w:pPr>
            <w:r>
              <w:rPr>
                <w:sz w:val="24"/>
                <w:szCs w:val="24"/>
              </w:rPr>
              <w:t xml:space="preserve">послг</w:t>
            </w:r>
            <w:r>
              <w:rPr>
                <w:sz w:val="24"/>
                <w:szCs w:val="24"/>
              </w:rPr>
              <w:t xml:space="preserve">.</w:t>
            </w:r>
            <w:r/>
          </w:p>
        </w:tc>
        <w:tc>
          <w:tcPr>
            <w:tcW w:w="1341" w:type="dxa"/>
            <w:textDirection w:val="lrTb"/>
            <w:noWrap w:val="false"/>
          </w:tcPr>
          <w:p>
            <w:pPr>
              <w:jc w:val="center"/>
              <w:rPr>
                <w:sz w:val="24"/>
                <w:szCs w:val="24"/>
              </w:rPr>
            </w:pPr>
            <w:r>
              <w:rPr>
                <w:sz w:val="24"/>
                <w:szCs w:val="24"/>
              </w:rPr>
              <w:t xml:space="preserve">1</w:t>
            </w:r>
            <w:r/>
          </w:p>
        </w:tc>
      </w:tr>
      <w:tr>
        <w:trPr/>
        <w:tc>
          <w:tcPr>
            <w:tcW w:w="567" w:type="dxa"/>
            <w:textDirection w:val="lrTb"/>
            <w:noWrap w:val="false"/>
          </w:tcPr>
          <w:p>
            <w:pPr>
              <w:jc w:val="center"/>
              <w:rPr>
                <w:sz w:val="24"/>
                <w:szCs w:val="24"/>
              </w:rPr>
            </w:pPr>
            <w:r>
              <w:rPr>
                <w:sz w:val="24"/>
                <w:szCs w:val="24"/>
              </w:rPr>
              <w:t xml:space="preserve">2</w:t>
            </w:r>
            <w:r/>
          </w:p>
        </w:tc>
        <w:tc>
          <w:tcPr>
            <w:tcW w:w="6237" w:type="dxa"/>
            <w:textDirection w:val="lrTb"/>
            <w:noWrap w:val="false"/>
          </w:tcPr>
          <w:p>
            <w:pPr>
              <w:rPr>
                <w:sz w:val="24"/>
                <w:szCs w:val="24"/>
              </w:rPr>
            </w:pPr>
            <w:r>
              <w:rPr>
                <w:sz w:val="24"/>
                <w:szCs w:val="24"/>
              </w:rPr>
              <w:t xml:space="preserve">Послуги з </w:t>
            </w:r>
            <w:r>
              <w:rPr>
                <w:sz w:val="24"/>
                <w:szCs w:val="24"/>
              </w:rPr>
              <w:t xml:space="preserve">пусконалагоджування</w:t>
            </w:r>
            <w:r/>
          </w:p>
        </w:tc>
        <w:tc>
          <w:tcPr>
            <w:tcW w:w="1417" w:type="dxa"/>
            <w:textDirection w:val="lrTb"/>
            <w:noWrap w:val="false"/>
          </w:tcPr>
          <w:p>
            <w:pPr>
              <w:jc w:val="center"/>
              <w:rPr>
                <w:sz w:val="24"/>
                <w:szCs w:val="24"/>
              </w:rPr>
            </w:pPr>
            <w:r>
              <w:rPr>
                <w:sz w:val="24"/>
                <w:szCs w:val="24"/>
              </w:rPr>
              <w:t xml:space="preserve">послг</w:t>
            </w:r>
            <w:r>
              <w:rPr>
                <w:sz w:val="24"/>
                <w:szCs w:val="24"/>
              </w:rPr>
              <w:t xml:space="preserve">.</w:t>
            </w:r>
            <w:r/>
          </w:p>
        </w:tc>
        <w:tc>
          <w:tcPr>
            <w:tcW w:w="1341" w:type="dxa"/>
            <w:textDirection w:val="lrTb"/>
            <w:noWrap w:val="false"/>
          </w:tcPr>
          <w:p>
            <w:pPr>
              <w:jc w:val="center"/>
              <w:rPr>
                <w:sz w:val="24"/>
                <w:szCs w:val="24"/>
              </w:rPr>
            </w:pPr>
            <w:r>
              <w:rPr>
                <w:sz w:val="24"/>
                <w:szCs w:val="24"/>
              </w:rPr>
              <w:t xml:space="preserve">1</w:t>
            </w:r>
            <w:r/>
          </w:p>
        </w:tc>
      </w:tr>
      <w:tr>
        <w:trPr/>
        <w:tc>
          <w:tcPr>
            <w:tcW w:w="567" w:type="dxa"/>
            <w:textDirection w:val="lrTb"/>
            <w:noWrap w:val="false"/>
          </w:tcPr>
          <w:p>
            <w:pPr>
              <w:jc w:val="center"/>
              <w:rPr>
                <w:sz w:val="24"/>
                <w:szCs w:val="24"/>
              </w:rPr>
            </w:pPr>
            <w:r>
              <w:rPr>
                <w:sz w:val="24"/>
                <w:szCs w:val="24"/>
              </w:rPr>
              <w:t xml:space="preserve">3</w:t>
            </w:r>
            <w:r/>
          </w:p>
        </w:tc>
        <w:tc>
          <w:tcPr>
            <w:tcW w:w="6237" w:type="dxa"/>
            <w:textDirection w:val="lrTb"/>
            <w:noWrap w:val="false"/>
          </w:tcPr>
          <w:p>
            <w:pPr>
              <w:rPr>
                <w:sz w:val="24"/>
                <w:szCs w:val="24"/>
              </w:rPr>
            </w:pPr>
            <w:r>
              <w:rPr>
                <w:sz w:val="24"/>
                <w:szCs w:val="24"/>
              </w:rPr>
              <w:t xml:space="preserve">Послуги з прокладання кабелю по будівлі</w:t>
            </w:r>
            <w:r/>
          </w:p>
        </w:tc>
        <w:tc>
          <w:tcPr>
            <w:tcW w:w="1417" w:type="dxa"/>
            <w:textDirection w:val="lrTb"/>
            <w:noWrap w:val="false"/>
          </w:tcPr>
          <w:p>
            <w:pPr>
              <w:jc w:val="center"/>
              <w:rPr>
                <w:sz w:val="24"/>
                <w:szCs w:val="24"/>
              </w:rPr>
            </w:pPr>
            <w:r>
              <w:rPr>
                <w:sz w:val="24"/>
                <w:szCs w:val="24"/>
              </w:rPr>
              <w:t xml:space="preserve">м</w:t>
            </w:r>
            <w:r/>
          </w:p>
        </w:tc>
        <w:tc>
          <w:tcPr>
            <w:tcW w:w="1341" w:type="dxa"/>
            <w:textDirection w:val="lrTb"/>
            <w:noWrap w:val="false"/>
          </w:tcPr>
          <w:p>
            <w:pPr>
              <w:jc w:val="center"/>
              <w:rPr>
                <w:sz w:val="24"/>
                <w:szCs w:val="24"/>
                <w:lang w:val="en-US"/>
              </w:rPr>
            </w:pPr>
            <w:r>
              <w:rPr>
                <w:sz w:val="24"/>
                <w:szCs w:val="24"/>
                <w:lang w:val="en-US"/>
              </w:rPr>
              <w:t xml:space="preserve">420</w:t>
            </w:r>
            <w:r/>
          </w:p>
        </w:tc>
      </w:tr>
      <w:tr>
        <w:trPr/>
        <w:tc>
          <w:tcPr>
            <w:tcW w:w="567" w:type="dxa"/>
            <w:textDirection w:val="lrTb"/>
            <w:noWrap w:val="false"/>
          </w:tcPr>
          <w:p>
            <w:pPr>
              <w:jc w:val="center"/>
              <w:rPr>
                <w:sz w:val="24"/>
                <w:szCs w:val="24"/>
              </w:rPr>
            </w:pPr>
            <w:r>
              <w:rPr>
                <w:sz w:val="24"/>
                <w:szCs w:val="24"/>
              </w:rPr>
              <w:t xml:space="preserve">4</w:t>
            </w:r>
            <w:r/>
          </w:p>
        </w:tc>
        <w:tc>
          <w:tcPr>
            <w:tcW w:w="6237" w:type="dxa"/>
            <w:textDirection w:val="lrTb"/>
            <w:noWrap w:val="false"/>
          </w:tcPr>
          <w:p>
            <w:pPr>
              <w:rPr>
                <w:sz w:val="24"/>
                <w:szCs w:val="24"/>
              </w:rPr>
            </w:pPr>
            <w:r>
              <w:rPr>
                <w:sz w:val="24"/>
                <w:szCs w:val="24"/>
              </w:rPr>
              <w:t xml:space="preserve">Послуги з </w:t>
            </w:r>
            <w:r>
              <w:rPr>
                <w:sz w:val="24"/>
                <w:szCs w:val="24"/>
              </w:rPr>
              <w:t xml:space="preserve">біркування</w:t>
            </w:r>
            <w:r/>
          </w:p>
        </w:tc>
        <w:tc>
          <w:tcPr>
            <w:tcW w:w="1417" w:type="dxa"/>
            <w:textDirection w:val="lrTb"/>
            <w:noWrap w:val="false"/>
          </w:tcPr>
          <w:p>
            <w:pPr>
              <w:jc w:val="center"/>
              <w:rPr>
                <w:sz w:val="24"/>
                <w:szCs w:val="24"/>
              </w:rPr>
            </w:pPr>
            <w:r>
              <w:rPr>
                <w:sz w:val="24"/>
                <w:szCs w:val="24"/>
              </w:rPr>
              <w:t xml:space="preserve">послг</w:t>
            </w:r>
            <w:r>
              <w:rPr>
                <w:sz w:val="24"/>
                <w:szCs w:val="24"/>
              </w:rPr>
              <w:t xml:space="preserve">.</w:t>
            </w:r>
            <w:r/>
          </w:p>
        </w:tc>
        <w:tc>
          <w:tcPr>
            <w:tcW w:w="1341" w:type="dxa"/>
            <w:textDirection w:val="lrTb"/>
            <w:noWrap w:val="false"/>
          </w:tcPr>
          <w:p>
            <w:pPr>
              <w:jc w:val="center"/>
              <w:rPr>
                <w:sz w:val="24"/>
                <w:szCs w:val="24"/>
              </w:rPr>
            </w:pPr>
            <w:r>
              <w:rPr>
                <w:sz w:val="24"/>
                <w:szCs w:val="24"/>
              </w:rPr>
              <w:t xml:space="preserve">15</w:t>
            </w:r>
            <w:r/>
          </w:p>
        </w:tc>
      </w:tr>
    </w:tbl>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left="142" w:firstLine="425"/>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left="142" w:firstLine="425"/>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w:t>
      </w:r>
      <w:r>
        <w:rPr>
          <w:rFonts w:ascii="Times New Roman" w:hAnsi="Times New Roman" w:cs="Times New Roman"/>
          <w:i/>
          <w:sz w:val="24"/>
          <w:szCs w:val="24"/>
        </w:rPr>
        <w:t xml:space="preserve">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w:t>
      </w:r>
      <w:r>
        <w:rPr>
          <w:rFonts w:ascii="Times New Roman" w:hAnsi="Times New Roman" w:cs="Times New Roman"/>
          <w:i/>
          <w:sz w:val="24"/>
          <w:szCs w:val="24"/>
        </w:rPr>
        <w:t xml:space="preserve">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ind w:left="142" w:firstLine="425"/>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left="142" w:firstLine="425"/>
        <w:jc w:val="both"/>
        <w:spacing w:after="0" w:line="240" w:lineRule="auto"/>
        <w:rPr>
          <w:rFonts w:ascii="Times New Roman" w:hAnsi="Times New Roman" w:cs="Times New Roman"/>
          <w:b/>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left="142" w:firstLine="425"/>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r>
      <w:r/>
    </w:p>
    <w:p>
      <w:pPr>
        <w:ind w:left="142" w:firstLine="425"/>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w:t>
      </w:r>
      <w:r>
        <w:rPr>
          <w:rFonts w:ascii="Times New Roman" w:hAnsi="Times New Roman" w:cs="Times New Roman"/>
          <w:b/>
          <w:bCs/>
          <w:i/>
          <w:iCs/>
          <w:sz w:val="24"/>
          <w:szCs w:val="24"/>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ascii="Times New Roman" w:hAnsi="Times New Roman" w:cs="Times New Roman"/>
          <w:b/>
          <w:bCs/>
          <w:i/>
          <w:iCs/>
          <w:sz w:val="24"/>
          <w:szCs w:val="24"/>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ascii="Times New Roman" w:hAnsi="Times New Roman" w:cs="Times New Roman"/>
          <w:b/>
          <w:bCs/>
          <w:i/>
          <w:iCs/>
          <w:sz w:val="24"/>
          <w:szCs w:val="24"/>
        </w:rPr>
        <w:t xml:space="preserve">проєкту</w:t>
      </w:r>
      <w:r>
        <w:rPr>
          <w:rFonts w:ascii="Times New Roman" w:hAnsi="Times New Roman" w:cs="Times New Roman"/>
          <w:b/>
          <w:bCs/>
          <w:i/>
          <w:iCs/>
          <w:sz w:val="24"/>
          <w:szCs w:val="24"/>
        </w:rPr>
        <w:t xml:space="preserve"> Договору до моменту його повного завершення.</w:t>
      </w: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right="-1"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Термін надання</w:t>
      </w:r>
      <w:r>
        <w:rPr>
          <w:rFonts w:ascii="Times New Roman" w:hAnsi="Times New Roman" w:cs="Times New Roman"/>
          <w:sz w:val="24"/>
          <w:szCs w:val="24"/>
          <w:highlight w:val="white"/>
        </w:rPr>
        <w:t xml:space="preserve"> послуг 10 (десять) календарних днів</w:t>
      </w:r>
      <w:r>
        <w:rPr>
          <w:rFonts w:ascii="Times New Roman" w:hAnsi="Times New Roman" w:cs="Times New Roman"/>
          <w:sz w:val="24"/>
          <w:szCs w:val="24"/>
        </w:rPr>
        <w:t xml:space="preserve"> з моменту підписання договору.</w:t>
      </w:r>
      <w:r/>
    </w:p>
    <w:p>
      <w:pPr>
        <w:ind w:right="-1"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right="-1" w:firstLine="567"/>
        <w:jc w:val="both"/>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Технічним завданням передбачені </w:t>
      </w:r>
      <w:r>
        <w:rPr>
          <w:rFonts w:ascii="Times New Roman" w:hAnsi="Times New Roman" w:cs="Times New Roman"/>
          <w:bCs/>
          <w:spacing w:val="-3"/>
          <w:sz w:val="24"/>
          <w:szCs w:val="24"/>
          <w:lang w:eastAsia="uk-UA"/>
        </w:rPr>
        <w:t xml:space="preserve">монтажні послуги з </w:t>
      </w:r>
      <w:r>
        <w:rPr>
          <w:rFonts w:ascii="Times New Roman" w:hAnsi="Times New Roman" w:cs="Times New Roman"/>
          <w:bCs/>
          <w:spacing w:val="-3"/>
          <w:sz w:val="24"/>
          <w:szCs w:val="24"/>
          <w:lang w:eastAsia="uk-UA"/>
        </w:rPr>
        <w:t xml:space="preserve">кросування</w:t>
      </w:r>
      <w:r>
        <w:rPr>
          <w:rFonts w:ascii="Times New Roman" w:hAnsi="Times New Roman" w:cs="Times New Roman"/>
          <w:bCs/>
          <w:spacing w:val="-3"/>
          <w:sz w:val="24"/>
          <w:szCs w:val="24"/>
          <w:lang w:eastAsia="uk-UA"/>
        </w:rPr>
        <w:t xml:space="preserve"> аналогової телефонії від серверного приміщення до кімнати диспетчерів Служби 112 м. Львів.</w:t>
      </w:r>
      <w:r/>
    </w:p>
    <w:p>
      <w:pPr>
        <w:ind w:left="5660" w:hanging="5376"/>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p>
      <w:pPr>
        <w:ind w:right="-2" w:firstLine="567"/>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Загальні вимоги</w:t>
      </w:r>
      <w:r/>
    </w:p>
    <w:p>
      <w:pPr>
        <w:jc w:val="both"/>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 Якість матеріальних ресурсів, що використовуються при виконанні робіт, повинна відповідати стандартам, технічним умовам, іншій технічній документації, яка встановлює вимоги до їх якості відповідно до законодавства України.</w:t>
      </w:r>
      <w:r>
        <w:rPr>
          <w:rFonts w:ascii="Times New Roman" w:hAnsi="Times New Roman" w:eastAsia="Calibri" w:cs="Times New Roman"/>
          <w:b/>
          <w:bCs/>
          <w:i/>
          <w:iCs/>
          <w:color w:val="000000"/>
          <w:sz w:val="24"/>
          <w:szCs w:val="24"/>
        </w:rPr>
        <w:t xml:space="preserve"> (надати гарантійний лист)</w:t>
      </w:r>
      <w:r/>
    </w:p>
    <w:p>
      <w:pPr>
        <w:ind w:right="-2"/>
        <w:jc w:val="both"/>
        <w:spacing w:after="0" w:line="240" w:lineRule="auto"/>
        <w:rPr>
          <w:rFonts w:ascii="Times New Roman" w:hAnsi="Times New Roman" w:eastAsia="Calibri" w:cs="Times New Roman"/>
          <w:b/>
          <w:bCs/>
          <w:i/>
          <w:iCs/>
          <w:color w:val="000000"/>
          <w:sz w:val="24"/>
          <w:szCs w:val="24"/>
        </w:rPr>
      </w:pPr>
      <w:r>
        <w:rPr>
          <w:rFonts w:ascii="Times New Roman" w:hAnsi="Times New Roman" w:cs="Times New Roman"/>
          <w:sz w:val="24"/>
          <w:szCs w:val="24"/>
          <w:lang w:eastAsia="uk-UA"/>
        </w:rPr>
        <w:t xml:space="preserve">2. Усі матеріали та устаткування мають бути новими. Тобто такими, що не були у використанні. </w:t>
      </w:r>
      <w:r>
        <w:rPr>
          <w:rFonts w:ascii="Times New Roman" w:hAnsi="Times New Roman" w:eastAsia="Calibri" w:cs="Times New Roman"/>
          <w:b/>
          <w:bCs/>
          <w:i/>
          <w:iCs/>
          <w:color w:val="000000"/>
          <w:sz w:val="24"/>
          <w:szCs w:val="24"/>
        </w:rPr>
        <w:t xml:space="preserve">(надати гарантійний лист)</w:t>
      </w:r>
      <w:r/>
    </w:p>
    <w:p>
      <w:pPr>
        <w:ind w:right="-2"/>
        <w:jc w:val="both"/>
        <w:spacing w:after="0" w:line="240" w:lineRule="auto"/>
        <w:rPr>
          <w:rFonts w:ascii="Times New Roman" w:hAnsi="Times New Roman" w:cs="Times New Roman"/>
          <w:sz w:val="24"/>
          <w:szCs w:val="24"/>
          <w:lang w:eastAsia="uk-UA"/>
        </w:rPr>
      </w:pPr>
      <w:r>
        <w:rPr>
          <w:rFonts w:ascii="Times New Roman" w:hAnsi="Times New Roman" w:cs="Times New Roman"/>
          <w:bCs/>
          <w:iCs/>
          <w:sz w:val="24"/>
          <w:szCs w:val="24"/>
          <w:lang w:eastAsia="uk-UA"/>
        </w:rPr>
        <w:t xml:space="preserve">3. На виконання вимог ч. 4 ст. 23 Закону України «Про публічні закупівлі» всі посилання</w:t>
      </w:r>
      <w:r>
        <w:rPr>
          <w:rFonts w:ascii="Times New Roman" w:hAnsi="Times New Roman" w:cs="Times New Roman"/>
          <w:bCs/>
          <w:iCs/>
          <w:sz w:val="24"/>
          <w:szCs w:val="24"/>
          <w:lang w:eastAsia="uk-UA"/>
        </w:rPr>
        <w:t xml:space="preserve">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його походження чи спосіб виробництва, після кожного такого посилання  </w:t>
      </w:r>
      <w:r>
        <w:rPr>
          <w:rFonts w:ascii="Times New Roman" w:hAnsi="Times New Roman" w:cs="Times New Roman"/>
          <w:bCs/>
          <w:iCs/>
          <w:spacing w:val="-3"/>
          <w:sz w:val="24"/>
          <w:szCs w:val="24"/>
          <w:lang w:eastAsia="uk-UA"/>
        </w:rPr>
        <w:t xml:space="preserve">слід доповнити,  читати і сприймати з виразом «або еквівалент».</w:t>
      </w:r>
      <w:r/>
    </w:p>
    <w:p>
      <w:pPr>
        <w:contextualSpacing/>
        <w:jc w:val="both"/>
        <w:spacing w:after="0" w:line="240" w:lineRule="auto"/>
        <w:rPr>
          <w:rFonts w:ascii="Times New Roman" w:hAnsi="Times New Roman" w:eastAsia="Calibri" w:cs="Times New Roman"/>
          <w:color w:val="ff0000"/>
          <w:sz w:val="24"/>
          <w:szCs w:val="24"/>
        </w:rPr>
      </w:pPr>
      <w:r>
        <w:rPr>
          <w:rFonts w:ascii="Times New Roman" w:hAnsi="Times New Roman" w:eastAsia="Calibri" w:cs="Times New Roman"/>
          <w:sz w:val="24"/>
          <w:szCs w:val="24"/>
        </w:rPr>
        <w:t xml:space="preserve">4. </w:t>
      </w:r>
      <w:r>
        <w:rPr>
          <w:rFonts w:ascii="Times New Roman" w:hAnsi="Times New Roman" w:eastAsia="Calibri" w:cs="Times New Roman"/>
          <w:color w:val="000000"/>
          <w:sz w:val="24"/>
          <w:szCs w:val="24"/>
        </w:rPr>
        <w:t xml:space="preserve">Учасник гарантує надійність і якість виконаних, закінчених послуг і змонтованого обладнання, та можливість його експлуатації протягом гарантійного строку, який має складати не менше 12 місяців </w:t>
      </w:r>
      <w:r>
        <w:rPr>
          <w:rFonts w:ascii="Times New Roman" w:hAnsi="Times New Roman" w:eastAsia="Calibri" w:cs="Times New Roman"/>
          <w:b/>
          <w:bCs/>
          <w:i/>
          <w:iCs/>
          <w:color w:val="000000"/>
          <w:sz w:val="24"/>
          <w:szCs w:val="24"/>
        </w:rPr>
        <w:t xml:space="preserve">(надати гарантійний лист)</w:t>
      </w:r>
      <w:r>
        <w:rPr>
          <w:rFonts w:ascii="Times New Roman" w:hAnsi="Times New Roman" w:eastAsia="Calibri" w:cs="Times New Roman"/>
          <w:color w:val="000000"/>
          <w:sz w:val="24"/>
          <w:szCs w:val="24"/>
        </w:rPr>
        <w:t xml:space="preserve">.</w:t>
      </w:r>
      <w:r/>
    </w:p>
    <w:p>
      <w:pPr>
        <w:jc w:val="both"/>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lang w:eastAsia="uk-UA"/>
        </w:rPr>
        <w:t xml:space="preserve">5. </w:t>
      </w:r>
      <w:r>
        <w:rPr>
          <w:rFonts w:ascii="Times New Roman" w:hAnsi="Times New Roman" w:cs="Times New Roman"/>
          <w:color w:val="000000"/>
          <w:sz w:val="24"/>
          <w:szCs w:val="24"/>
          <w:lang w:eastAsia="uk-UA"/>
        </w:rPr>
        <w:t xml:space="preserve">Обладнання, яке вийшло з ладу впродовж гарантійного терміну, який складає не менше 12 місяців, замінюється Учасником не більше ніж за 48 годин з моменту виникнення не</w:t>
      </w:r>
      <w:r>
        <w:rPr>
          <w:rFonts w:ascii="Times New Roman" w:hAnsi="Times New Roman" w:cs="Times New Roman"/>
          <w:color w:val="000000"/>
          <w:sz w:val="24"/>
          <w:szCs w:val="24"/>
          <w:lang w:eastAsia="uk-UA"/>
        </w:rPr>
        <w:t xml:space="preserve">справності, після письмового повідомлення Замовником про несправність систем. З огляду на це Учасник повинен мати або регіонального представника, або можливість відрядити до Замовника своїх фахівців, які повинні усунути несправність у встановлені терміни. </w:t>
      </w:r>
      <w:r>
        <w:rPr>
          <w:rFonts w:ascii="Times New Roman" w:hAnsi="Times New Roman" w:eastAsia="Calibri" w:cs="Times New Roman"/>
          <w:b/>
          <w:bCs/>
          <w:i/>
          <w:iCs/>
          <w:color w:val="000000"/>
          <w:sz w:val="24"/>
          <w:szCs w:val="24"/>
        </w:rPr>
        <w:t xml:space="preserve">(надати гарантійний лист)</w:t>
      </w:r>
      <w:r/>
    </w:p>
    <w:p>
      <w:pPr>
        <w:ind w:right="-2"/>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Обладнання та матеріали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right="-2"/>
        <w:jc w:val="both"/>
        <w:spacing w:after="0" w:line="240" w:lineRule="auto"/>
        <w:rPr>
          <w:rFonts w:ascii="Times New Roman" w:hAnsi="Times New Roman" w:cs="Times New Roman"/>
          <w:sz w:val="24"/>
          <w:szCs w:val="24"/>
          <w:lang w:eastAsia="uk-UA"/>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right="-426"/>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r>
      <w:r/>
    </w:p>
    <w:p>
      <w:pPr>
        <w:ind w:right="-426"/>
        <w:jc w:val="cente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Вимоги до якості робіт</w:t>
      </w:r>
      <w:r/>
    </w:p>
    <w:p>
      <w:pPr>
        <w:ind w:left="-567" w:right="-1" w:firstLine="709"/>
        <w:jc w:val="both"/>
        <w:spacing w:after="0" w:line="240" w:lineRule="auto"/>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Матеріали, що використовуються для виконання робіт повинні мати наступні параметри </w:t>
      </w:r>
      <w:r>
        <w:rPr>
          <w:rFonts w:ascii="Times New Roman" w:hAnsi="Times New Roman" w:eastAsia="Calibri" w:cs="Times New Roman"/>
          <w:b/>
          <w:bCs/>
          <w:i/>
          <w:iCs/>
          <w:color w:val="000000"/>
          <w:sz w:val="24"/>
          <w:szCs w:val="24"/>
        </w:rPr>
        <w:t xml:space="preserve">(надати гарантійні/</w:t>
      </w:r>
      <w:r>
        <w:rPr>
          <w:rFonts w:ascii="Times New Roman" w:hAnsi="Times New Roman" w:eastAsia="Calibri" w:cs="Times New Roman"/>
          <w:b/>
          <w:bCs/>
          <w:i/>
          <w:iCs/>
          <w:color w:val="000000"/>
          <w:sz w:val="24"/>
          <w:szCs w:val="24"/>
        </w:rPr>
        <w:t xml:space="preserve">ий</w:t>
      </w:r>
      <w:r>
        <w:rPr>
          <w:rFonts w:ascii="Times New Roman" w:hAnsi="Times New Roman" w:eastAsia="Calibri" w:cs="Times New Roman"/>
          <w:b/>
          <w:bCs/>
          <w:i/>
          <w:iCs/>
          <w:color w:val="000000"/>
          <w:sz w:val="24"/>
          <w:szCs w:val="24"/>
        </w:rPr>
        <w:t xml:space="preserve"> лист/ти)</w:t>
      </w:r>
      <w:r>
        <w:rPr>
          <w:rFonts w:ascii="Times New Roman" w:hAnsi="Times New Roman" w:cs="Times New Roman"/>
          <w:color w:val="000000"/>
          <w:sz w:val="24"/>
          <w:szCs w:val="24"/>
        </w:rPr>
        <w:t xml:space="preserve">:</w:t>
      </w:r>
      <w:r/>
    </w:p>
    <w:p>
      <w:pPr>
        <w:numPr>
          <w:ilvl w:val="0"/>
          <w:numId w:val="44"/>
        </w:numPr>
        <w:contextualSpacing/>
        <w:ind w:right="-1" w:hanging="567"/>
        <w:spacing w:after="0" w:line="240" w:lineRule="auto"/>
        <w:shd w:val="clear" w:color="auto" w:fill="ffffff"/>
        <w:widowControl w:val="off"/>
        <w:tabs>
          <w:tab w:val="left" w:pos="906" w:leader="none"/>
        </w:tabs>
        <w:rPr>
          <w:rFonts w:ascii="Times New Roman" w:hAnsi="Times New Roman" w:cs="Times New Roman"/>
          <w:sz w:val="24"/>
          <w:szCs w:val="24"/>
        </w:rPr>
      </w:pPr>
      <w:r>
        <w:rPr>
          <w:rFonts w:ascii="Times New Roman" w:hAnsi="Times New Roman" w:cs="Times New Roman"/>
          <w:color w:val="000000"/>
          <w:sz w:val="24"/>
          <w:szCs w:val="24"/>
        </w:rPr>
        <w:t xml:space="preserve">не токсичні, не відносяться до горючих матеріалів;</w:t>
      </w:r>
      <w:r/>
    </w:p>
    <w:p>
      <w:pPr>
        <w:numPr>
          <w:ilvl w:val="0"/>
          <w:numId w:val="44"/>
        </w:numPr>
        <w:ind w:right="-1" w:hanging="567"/>
        <w:spacing w:after="0" w:line="240" w:lineRule="auto"/>
        <w:shd w:val="clear" w:color="auto" w:fill="ffffff"/>
        <w:widowControl w:val="off"/>
        <w:tabs>
          <w:tab w:val="left" w:pos="906" w:leader="none"/>
        </w:tabs>
        <w:rPr>
          <w:rFonts w:ascii="Times New Roman" w:hAnsi="Times New Roman" w:cs="Times New Roman"/>
          <w:sz w:val="24"/>
          <w:szCs w:val="24"/>
        </w:rPr>
      </w:pPr>
      <w:r>
        <w:rPr>
          <w:rFonts w:ascii="Times New Roman" w:hAnsi="Times New Roman" w:cs="Times New Roman"/>
          <w:color w:val="000000"/>
          <w:sz w:val="24"/>
          <w:szCs w:val="24"/>
        </w:rPr>
        <w:t xml:space="preserve">термін служби не менше 10 років;</w:t>
      </w:r>
      <w:r/>
    </w:p>
    <w:p>
      <w:pPr>
        <w:numPr>
          <w:ilvl w:val="0"/>
          <w:numId w:val="44"/>
        </w:numPr>
        <w:ind w:right="-1" w:hanging="567"/>
        <w:spacing w:after="0" w:line="240" w:lineRule="auto"/>
        <w:shd w:val="clear" w:color="auto" w:fill="ffffff"/>
        <w:widowControl w:val="off"/>
        <w:tabs>
          <w:tab w:val="left" w:pos="906" w:leader="none"/>
        </w:tabs>
        <w:rPr>
          <w:rFonts w:ascii="Times New Roman" w:hAnsi="Times New Roman" w:cs="Times New Roman"/>
          <w:sz w:val="24"/>
          <w:szCs w:val="24"/>
        </w:rPr>
      </w:pPr>
      <w:r>
        <w:rPr>
          <w:rFonts w:ascii="Times New Roman" w:hAnsi="Times New Roman" w:cs="Times New Roman"/>
          <w:color w:val="000000"/>
          <w:sz w:val="24"/>
          <w:szCs w:val="24"/>
        </w:rPr>
        <w:t xml:space="preserve">мати високі зносостійкі властивості;</w:t>
      </w:r>
      <w:r/>
    </w:p>
    <w:p>
      <w:pPr>
        <w:numPr>
          <w:ilvl w:val="0"/>
          <w:numId w:val="44"/>
        </w:numPr>
        <w:ind w:right="-1" w:hanging="567"/>
        <w:spacing w:after="0" w:line="240" w:lineRule="auto"/>
        <w:shd w:val="clear" w:color="auto" w:fill="ffffff"/>
        <w:widowControl w:val="off"/>
        <w:tabs>
          <w:tab w:val="left" w:pos="906" w:leader="none"/>
        </w:tabs>
        <w:rPr>
          <w:rFonts w:ascii="Times New Roman" w:hAnsi="Times New Roman" w:cs="Times New Roman"/>
          <w:sz w:val="24"/>
          <w:szCs w:val="24"/>
        </w:rPr>
      </w:pPr>
      <w:r>
        <w:rPr>
          <w:rFonts w:ascii="Times New Roman" w:hAnsi="Times New Roman" w:cs="Times New Roman"/>
          <w:color w:val="000000"/>
          <w:sz w:val="24"/>
          <w:szCs w:val="24"/>
        </w:rPr>
        <w:t xml:space="preserve">відповідність вимогам безпеки.</w:t>
      </w:r>
      <w:r/>
    </w:p>
    <w:p>
      <w:pPr>
        <w:ind w:right="-1"/>
        <w:jc w:val="both"/>
        <w:spacing w:after="0" w:line="240" w:lineRule="auto"/>
        <w:widowControl w:val="off"/>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Роботи виконуються в будівлях, що експлуатуються.</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46 873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74</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сорок шість тисяч вісімсот сімдесят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74</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19"/>
  </w:num>
  <w:num w:numId="3">
    <w:abstractNumId w:val="9"/>
  </w:num>
  <w:num w:numId="4">
    <w:abstractNumId w:val="27"/>
  </w:num>
  <w:num w:numId="5">
    <w:abstractNumId w:val="8"/>
  </w:num>
  <w:num w:numId="6">
    <w:abstractNumId w:val="35"/>
  </w:num>
  <w:num w:numId="7">
    <w:abstractNumId w:val="12"/>
  </w:num>
  <w:num w:numId="8">
    <w:abstractNumId w:val="37"/>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
  </w:num>
  <w:num w:numId="18">
    <w:abstractNumId w:val="42"/>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9"/>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 w:numId="43">
    <w:abstractNumId w:val="4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1"/>
    <w:next w:val="73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5"/>
    <w:link w:val="12"/>
    <w:uiPriority w:val="9"/>
    <w:rPr>
      <w:rFonts w:ascii="Arial" w:hAnsi="Arial" w:eastAsia="Arial" w:cs="Arial"/>
      <w:sz w:val="40"/>
      <w:szCs w:val="40"/>
    </w:rPr>
  </w:style>
  <w:style w:type="character" w:styleId="15">
    <w:name w:val="Heading 2 Char"/>
    <w:basedOn w:val="735"/>
    <w:link w:val="732"/>
    <w:uiPriority w:val="9"/>
    <w:rPr>
      <w:rFonts w:ascii="Arial" w:hAnsi="Arial" w:eastAsia="Arial" w:cs="Arial"/>
      <w:sz w:val="34"/>
    </w:rPr>
  </w:style>
  <w:style w:type="character" w:styleId="17">
    <w:name w:val="Heading 3 Char"/>
    <w:basedOn w:val="735"/>
    <w:link w:val="733"/>
    <w:uiPriority w:val="9"/>
    <w:rPr>
      <w:rFonts w:ascii="Arial" w:hAnsi="Arial" w:eastAsia="Arial" w:cs="Arial"/>
      <w:sz w:val="30"/>
      <w:szCs w:val="30"/>
    </w:rPr>
  </w:style>
  <w:style w:type="character" w:styleId="19">
    <w:name w:val="Heading 4 Char"/>
    <w:basedOn w:val="735"/>
    <w:link w:val="734"/>
    <w:uiPriority w:val="9"/>
    <w:rPr>
      <w:rFonts w:ascii="Arial" w:hAnsi="Arial" w:eastAsia="Arial" w:cs="Arial"/>
      <w:b/>
      <w:bCs/>
      <w:sz w:val="26"/>
      <w:szCs w:val="26"/>
    </w:rPr>
  </w:style>
  <w:style w:type="paragraph" w:styleId="20">
    <w:name w:val="Heading 5"/>
    <w:basedOn w:val="731"/>
    <w:next w:val="73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5"/>
    <w:link w:val="20"/>
    <w:uiPriority w:val="9"/>
    <w:rPr>
      <w:rFonts w:ascii="Arial" w:hAnsi="Arial" w:eastAsia="Arial" w:cs="Arial"/>
      <w:b/>
      <w:bCs/>
      <w:sz w:val="24"/>
      <w:szCs w:val="24"/>
    </w:rPr>
  </w:style>
  <w:style w:type="paragraph" w:styleId="22">
    <w:name w:val="Heading 6"/>
    <w:basedOn w:val="731"/>
    <w:next w:val="73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5"/>
    <w:link w:val="22"/>
    <w:uiPriority w:val="9"/>
    <w:rPr>
      <w:rFonts w:ascii="Arial" w:hAnsi="Arial" w:eastAsia="Arial" w:cs="Arial"/>
      <w:b/>
      <w:bCs/>
      <w:sz w:val="22"/>
      <w:szCs w:val="22"/>
    </w:rPr>
  </w:style>
  <w:style w:type="paragraph" w:styleId="24">
    <w:name w:val="Heading 7"/>
    <w:basedOn w:val="731"/>
    <w:next w:val="73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5"/>
    <w:link w:val="24"/>
    <w:uiPriority w:val="9"/>
    <w:rPr>
      <w:rFonts w:ascii="Arial" w:hAnsi="Arial" w:eastAsia="Arial" w:cs="Arial"/>
      <w:b/>
      <w:bCs/>
      <w:i/>
      <w:iCs/>
      <w:sz w:val="22"/>
      <w:szCs w:val="22"/>
    </w:rPr>
  </w:style>
  <w:style w:type="paragraph" w:styleId="26">
    <w:name w:val="Heading 8"/>
    <w:basedOn w:val="731"/>
    <w:next w:val="73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5"/>
    <w:link w:val="26"/>
    <w:uiPriority w:val="9"/>
    <w:rPr>
      <w:rFonts w:ascii="Arial" w:hAnsi="Arial" w:eastAsia="Arial" w:cs="Arial"/>
      <w:i/>
      <w:iCs/>
      <w:sz w:val="22"/>
      <w:szCs w:val="22"/>
    </w:rPr>
  </w:style>
  <w:style w:type="paragraph" w:styleId="28">
    <w:name w:val="Heading 9"/>
    <w:basedOn w:val="731"/>
    <w:next w:val="73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5"/>
    <w:link w:val="28"/>
    <w:uiPriority w:val="9"/>
    <w:rPr>
      <w:rFonts w:ascii="Arial" w:hAnsi="Arial" w:eastAsia="Arial" w:cs="Arial"/>
      <w:i/>
      <w:iCs/>
      <w:sz w:val="21"/>
      <w:szCs w:val="21"/>
    </w:rPr>
  </w:style>
  <w:style w:type="paragraph" w:styleId="33">
    <w:name w:val="Title"/>
    <w:basedOn w:val="731"/>
    <w:next w:val="731"/>
    <w:link w:val="34"/>
    <w:uiPriority w:val="10"/>
    <w:qFormat/>
    <w:pPr>
      <w:contextualSpacing/>
      <w:spacing w:before="300" w:after="200"/>
    </w:pPr>
    <w:rPr>
      <w:sz w:val="48"/>
      <w:szCs w:val="48"/>
    </w:rPr>
  </w:style>
  <w:style w:type="character" w:styleId="34">
    <w:name w:val="Title Char"/>
    <w:basedOn w:val="735"/>
    <w:link w:val="33"/>
    <w:uiPriority w:val="10"/>
    <w:rPr>
      <w:sz w:val="48"/>
      <w:szCs w:val="48"/>
    </w:rPr>
  </w:style>
  <w:style w:type="paragraph" w:styleId="35">
    <w:name w:val="Subtitle"/>
    <w:basedOn w:val="731"/>
    <w:next w:val="731"/>
    <w:link w:val="36"/>
    <w:uiPriority w:val="11"/>
    <w:qFormat/>
    <w:pPr>
      <w:spacing w:before="200" w:after="200"/>
    </w:pPr>
    <w:rPr>
      <w:sz w:val="24"/>
      <w:szCs w:val="24"/>
    </w:rPr>
  </w:style>
  <w:style w:type="character" w:styleId="36">
    <w:name w:val="Subtitle Char"/>
    <w:basedOn w:val="735"/>
    <w:link w:val="35"/>
    <w:uiPriority w:val="11"/>
    <w:rPr>
      <w:sz w:val="24"/>
      <w:szCs w:val="24"/>
    </w:rPr>
  </w:style>
  <w:style w:type="paragraph" w:styleId="37">
    <w:name w:val="Quote"/>
    <w:basedOn w:val="731"/>
    <w:next w:val="731"/>
    <w:link w:val="38"/>
    <w:uiPriority w:val="29"/>
    <w:qFormat/>
    <w:pPr>
      <w:ind w:left="720" w:right="720"/>
    </w:pPr>
    <w:rPr>
      <w:i/>
    </w:rPr>
  </w:style>
  <w:style w:type="character" w:styleId="38">
    <w:name w:val="Quote Char"/>
    <w:link w:val="37"/>
    <w:uiPriority w:val="29"/>
    <w:rPr>
      <w:i/>
    </w:rPr>
  </w:style>
  <w:style w:type="paragraph" w:styleId="39">
    <w:name w:val="Intense Quote"/>
    <w:basedOn w:val="731"/>
    <w:next w:val="73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1"/>
    <w:link w:val="42"/>
    <w:uiPriority w:val="99"/>
    <w:unhideWhenUsed/>
    <w:pPr>
      <w:spacing w:after="0" w:line="240" w:lineRule="auto"/>
      <w:tabs>
        <w:tab w:val="center" w:pos="7143" w:leader="none"/>
        <w:tab w:val="right" w:pos="14287" w:leader="none"/>
      </w:tabs>
    </w:pPr>
  </w:style>
  <w:style w:type="character" w:styleId="42">
    <w:name w:val="Header Char"/>
    <w:basedOn w:val="735"/>
    <w:link w:val="41"/>
    <w:uiPriority w:val="99"/>
  </w:style>
  <w:style w:type="character" w:styleId="44">
    <w:name w:val="Footer Char"/>
    <w:basedOn w:val="735"/>
    <w:link w:val="744"/>
    <w:uiPriority w:val="99"/>
  </w:style>
  <w:style w:type="paragraph" w:styleId="45">
    <w:name w:val="Caption"/>
    <w:basedOn w:val="731"/>
    <w:next w:val="731"/>
    <w:uiPriority w:val="35"/>
    <w:semiHidden/>
    <w:unhideWhenUsed/>
    <w:qFormat/>
    <w:pPr>
      <w:spacing w:line="276" w:lineRule="auto"/>
    </w:pPr>
    <w:rPr>
      <w:b/>
      <w:bCs/>
      <w:color w:val="4f81bd" w:themeColor="accent1"/>
      <w:sz w:val="18"/>
      <w:szCs w:val="18"/>
    </w:rPr>
  </w:style>
  <w:style w:type="character" w:styleId="46">
    <w:name w:val="Caption Char"/>
    <w:basedOn w:val="45"/>
    <w:link w:val="744"/>
    <w:uiPriority w:val="99"/>
  </w:style>
  <w:style w:type="table" w:styleId="48">
    <w:name w:val="Table Grid Light"/>
    <w:basedOn w:val="7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5"/>
    <w:uiPriority w:val="99"/>
    <w:unhideWhenUsed/>
    <w:rPr>
      <w:vertAlign w:val="superscript"/>
    </w:rPr>
  </w:style>
  <w:style w:type="paragraph" w:styleId="177">
    <w:name w:val="endnote text"/>
    <w:basedOn w:val="73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5"/>
    <w:uiPriority w:val="99"/>
    <w:semiHidden/>
    <w:unhideWhenUsed/>
    <w:rPr>
      <w:vertAlign w:val="superscript"/>
    </w:rPr>
  </w:style>
  <w:style w:type="paragraph" w:styleId="180">
    <w:name w:val="toc 1"/>
    <w:basedOn w:val="731"/>
    <w:next w:val="731"/>
    <w:uiPriority w:val="39"/>
    <w:unhideWhenUsed/>
    <w:pPr>
      <w:ind w:left="0" w:right="0" w:firstLine="0"/>
      <w:spacing w:after="57"/>
    </w:pPr>
  </w:style>
  <w:style w:type="paragraph" w:styleId="181">
    <w:name w:val="toc 2"/>
    <w:basedOn w:val="731"/>
    <w:next w:val="731"/>
    <w:uiPriority w:val="39"/>
    <w:unhideWhenUsed/>
    <w:pPr>
      <w:ind w:left="283" w:right="0" w:firstLine="0"/>
      <w:spacing w:after="57"/>
    </w:pPr>
  </w:style>
  <w:style w:type="paragraph" w:styleId="182">
    <w:name w:val="toc 3"/>
    <w:basedOn w:val="731"/>
    <w:next w:val="731"/>
    <w:uiPriority w:val="39"/>
    <w:unhideWhenUsed/>
    <w:pPr>
      <w:ind w:left="567" w:right="0" w:firstLine="0"/>
      <w:spacing w:after="57"/>
    </w:pPr>
  </w:style>
  <w:style w:type="paragraph" w:styleId="183">
    <w:name w:val="toc 4"/>
    <w:basedOn w:val="731"/>
    <w:next w:val="731"/>
    <w:uiPriority w:val="39"/>
    <w:unhideWhenUsed/>
    <w:pPr>
      <w:ind w:left="850" w:right="0" w:firstLine="0"/>
      <w:spacing w:after="57"/>
    </w:pPr>
  </w:style>
  <w:style w:type="paragraph" w:styleId="184">
    <w:name w:val="toc 5"/>
    <w:basedOn w:val="731"/>
    <w:next w:val="731"/>
    <w:uiPriority w:val="39"/>
    <w:unhideWhenUsed/>
    <w:pPr>
      <w:ind w:left="1134" w:right="0" w:firstLine="0"/>
      <w:spacing w:after="57"/>
    </w:pPr>
  </w:style>
  <w:style w:type="paragraph" w:styleId="185">
    <w:name w:val="toc 6"/>
    <w:basedOn w:val="731"/>
    <w:next w:val="731"/>
    <w:uiPriority w:val="39"/>
    <w:unhideWhenUsed/>
    <w:pPr>
      <w:ind w:left="1417" w:right="0" w:firstLine="0"/>
      <w:spacing w:after="57"/>
    </w:pPr>
  </w:style>
  <w:style w:type="paragraph" w:styleId="186">
    <w:name w:val="toc 7"/>
    <w:basedOn w:val="731"/>
    <w:next w:val="731"/>
    <w:uiPriority w:val="39"/>
    <w:unhideWhenUsed/>
    <w:pPr>
      <w:ind w:left="1701" w:right="0" w:firstLine="0"/>
      <w:spacing w:after="57"/>
    </w:pPr>
  </w:style>
  <w:style w:type="paragraph" w:styleId="187">
    <w:name w:val="toc 8"/>
    <w:basedOn w:val="731"/>
    <w:next w:val="731"/>
    <w:uiPriority w:val="39"/>
    <w:unhideWhenUsed/>
    <w:pPr>
      <w:ind w:left="1984" w:right="0" w:firstLine="0"/>
      <w:spacing w:after="57"/>
    </w:pPr>
  </w:style>
  <w:style w:type="paragraph" w:styleId="188">
    <w:name w:val="toc 9"/>
    <w:basedOn w:val="731"/>
    <w:next w:val="73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1"/>
    <w:next w:val="731"/>
    <w:uiPriority w:val="99"/>
    <w:unhideWhenUsed/>
    <w:pPr>
      <w:spacing w:after="0" w:afterAutospacing="0"/>
    </w:pPr>
  </w:style>
  <w:style w:type="paragraph" w:styleId="731" w:default="1">
    <w:name w:val="Normal"/>
    <w:qFormat/>
    <w:rPr>
      <w:lang w:val="uk-UA"/>
    </w:rPr>
  </w:style>
  <w:style w:type="paragraph" w:styleId="732">
    <w:name w:val="Heading 2"/>
    <w:basedOn w:val="731"/>
    <w:link w:val="75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3">
    <w:name w:val="Heading 3"/>
    <w:basedOn w:val="731"/>
    <w:next w:val="731"/>
    <w:link w:val="77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4">
    <w:name w:val="Heading 4"/>
    <w:basedOn w:val="731"/>
    <w:next w:val="731"/>
    <w:link w:val="77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5" w:default="1">
    <w:name w:val="Default Paragraph Font"/>
    <w:uiPriority w:val="1"/>
    <w:semiHidden/>
    <w:unhideWhenUsed/>
  </w:style>
  <w:style w:type="table" w:styleId="736" w:default="1">
    <w:name w:val="Normal Table"/>
    <w:uiPriority w:val="99"/>
    <w:semiHidden/>
    <w:unhideWhenUsed/>
    <w:tblPr>
      <w:tblInd w:w="0" w:type="dxa"/>
      <w:tblCellMar>
        <w:left w:w="108" w:type="dxa"/>
        <w:top w:w="0" w:type="dxa"/>
        <w:right w:w="108" w:type="dxa"/>
        <w:bottom w:w="0" w:type="dxa"/>
      </w:tblCellMar>
    </w:tblPr>
  </w:style>
  <w:style w:type="numbering" w:styleId="737" w:default="1">
    <w:name w:val="No List"/>
    <w:uiPriority w:val="99"/>
    <w:semiHidden/>
    <w:unhideWhenUsed/>
  </w:style>
  <w:style w:type="paragraph" w:styleId="738">
    <w:name w:val="List Paragraph"/>
    <w:basedOn w:val="731"/>
    <w:link w:val="739"/>
    <w:uiPriority w:val="34"/>
    <w:qFormat/>
    <w:pPr>
      <w:contextualSpacing/>
      <w:ind w:left="720"/>
      <w:spacing w:after="200" w:line="276" w:lineRule="auto"/>
    </w:pPr>
    <w:rPr>
      <w:rFonts w:ascii="Calibri" w:hAnsi="Calibri" w:eastAsia="Calibri" w:cs="Calibri"/>
      <w:lang w:val="ru-RU" w:eastAsia="zh-CN"/>
    </w:rPr>
  </w:style>
  <w:style w:type="character" w:styleId="739" w:customStyle="1">
    <w:name w:val="Абзац списку Знак"/>
    <w:link w:val="738"/>
    <w:uiPriority w:val="34"/>
    <w:qFormat/>
    <w:rPr>
      <w:rFonts w:ascii="Calibri" w:hAnsi="Calibri" w:eastAsia="Calibri" w:cs="Calibri"/>
      <w:lang w:eastAsia="zh-CN"/>
    </w:rPr>
  </w:style>
  <w:style w:type="table" w:styleId="740">
    <w:name w:val="Table Grid"/>
    <w:basedOn w:val="73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1" w:customStyle="1">
    <w:name w:val="Сетка таблицы2"/>
    <w:basedOn w:val="736"/>
    <w:next w:val="74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Normal (Web)"/>
    <w:basedOn w:val="731"/>
    <w:link w:val="749"/>
    <w:unhideWhenUsed/>
    <w:qFormat/>
    <w:rPr>
      <w:rFonts w:ascii="Times New Roman" w:hAnsi="Times New Roman" w:cs="Times New Roman"/>
      <w:sz w:val="24"/>
      <w:szCs w:val="24"/>
    </w:rPr>
  </w:style>
  <w:style w:type="table" w:styleId="743" w:customStyle="1">
    <w:name w:val="Сетка таблицы1"/>
    <w:basedOn w:val="736"/>
    <w:next w:val="74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Footer"/>
    <w:basedOn w:val="731"/>
    <w:link w:val="74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5" w:customStyle="1">
    <w:name w:val="Нижній колонтитул Знак"/>
    <w:basedOn w:val="735"/>
    <w:link w:val="744"/>
    <w:uiPriority w:val="99"/>
    <w:rPr>
      <w:rFonts w:ascii="Calibri" w:hAnsi="Calibri" w:eastAsia="Calibri" w:cs="Calibri"/>
      <w:lang w:eastAsia="zh-CN"/>
    </w:rPr>
  </w:style>
  <w:style w:type="paragraph" w:styleId="74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7">
    <w:name w:val="Hyperlink"/>
    <w:basedOn w:val="735"/>
    <w:uiPriority w:val="99"/>
    <w:unhideWhenUsed/>
    <w:rPr>
      <w:color w:val="0563c1" w:themeColor="hyperlink"/>
      <w:u w:val="single"/>
    </w:rPr>
  </w:style>
  <w:style w:type="character" w:styleId="748" w:customStyle="1">
    <w:name w:val="xfm_93972720"/>
    <w:basedOn w:val="735"/>
  </w:style>
  <w:style w:type="character" w:styleId="749" w:customStyle="1">
    <w:name w:val="Звичайний (веб) Знак"/>
    <w:link w:val="742"/>
    <w:qFormat/>
    <w:rPr>
      <w:rFonts w:ascii="Times New Roman" w:hAnsi="Times New Roman" w:cs="Times New Roman"/>
      <w:sz w:val="24"/>
      <w:szCs w:val="24"/>
      <w:lang w:val="uk-UA"/>
    </w:rPr>
  </w:style>
  <w:style w:type="paragraph" w:styleId="750">
    <w:name w:val="Body Text 2"/>
    <w:basedOn w:val="731"/>
    <w:link w:val="751"/>
    <w:pPr>
      <w:spacing w:after="0" w:line="240" w:lineRule="auto"/>
    </w:pPr>
    <w:rPr>
      <w:rFonts w:ascii="Times New Roman" w:hAnsi="Times New Roman" w:eastAsia="Times New Roman" w:cs="Times New Roman"/>
      <w:sz w:val="28"/>
      <w:szCs w:val="20"/>
      <w:lang w:val="ru-RU" w:eastAsia="ru-RU"/>
    </w:rPr>
  </w:style>
  <w:style w:type="character" w:styleId="751" w:customStyle="1">
    <w:name w:val="Основний текст 2 Знак"/>
    <w:basedOn w:val="735"/>
    <w:link w:val="750"/>
    <w:rPr>
      <w:rFonts w:ascii="Times New Roman" w:hAnsi="Times New Roman" w:eastAsia="Times New Roman" w:cs="Times New Roman"/>
      <w:sz w:val="28"/>
      <w:szCs w:val="20"/>
      <w:lang w:eastAsia="ru-RU"/>
    </w:rPr>
  </w:style>
  <w:style w:type="paragraph" w:styleId="75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3" w:customStyle="1">
    <w:name w:val="Заголовок 2 Знак"/>
    <w:basedOn w:val="735"/>
    <w:link w:val="732"/>
    <w:uiPriority w:val="9"/>
    <w:rPr>
      <w:rFonts w:ascii="Times New Roman" w:hAnsi="Times New Roman" w:eastAsia="Times New Roman" w:cs="Times New Roman"/>
      <w:b/>
      <w:bCs/>
      <w:sz w:val="36"/>
      <w:szCs w:val="36"/>
      <w:lang w:val="uk-UA" w:eastAsia="uk-UA"/>
    </w:rPr>
  </w:style>
  <w:style w:type="paragraph" w:styleId="754">
    <w:name w:val="No Spacing"/>
    <w:link w:val="755"/>
    <w:uiPriority w:val="1"/>
    <w:qFormat/>
    <w:pPr>
      <w:spacing w:after="0" w:line="240" w:lineRule="auto"/>
    </w:pPr>
    <w:rPr>
      <w:rFonts w:ascii="Calibri" w:hAnsi="Calibri" w:eastAsia="Calibri" w:cs="Times New Roman"/>
      <w:lang w:val="uk-UA"/>
    </w:rPr>
  </w:style>
  <w:style w:type="character" w:styleId="755" w:customStyle="1">
    <w:name w:val="Без інтервалів Знак"/>
    <w:basedOn w:val="735"/>
    <w:link w:val="754"/>
    <w:uiPriority w:val="1"/>
    <w:rPr>
      <w:rFonts w:ascii="Calibri" w:hAnsi="Calibri" w:eastAsia="Calibri" w:cs="Times New Roman"/>
      <w:lang w:val="uk-UA"/>
    </w:rPr>
  </w:style>
  <w:style w:type="character" w:styleId="756" w:customStyle="1">
    <w:name w:val="Другое_"/>
    <w:basedOn w:val="735"/>
    <w:link w:val="757"/>
    <w:rPr>
      <w:rFonts w:ascii="Calibri" w:hAnsi="Calibri" w:eastAsia="Calibri" w:cs="Calibri"/>
      <w:sz w:val="20"/>
      <w:szCs w:val="20"/>
    </w:rPr>
  </w:style>
  <w:style w:type="paragraph" w:styleId="757" w:customStyle="1">
    <w:name w:val="Другое"/>
    <w:basedOn w:val="731"/>
    <w:link w:val="756"/>
    <w:qFormat/>
    <w:pPr>
      <w:spacing w:after="0" w:line="240" w:lineRule="auto"/>
      <w:widowControl w:val="off"/>
    </w:pPr>
    <w:rPr>
      <w:rFonts w:ascii="Calibri" w:hAnsi="Calibri" w:eastAsia="Calibri" w:cs="Calibri"/>
      <w:sz w:val="20"/>
      <w:szCs w:val="20"/>
      <w:lang w:val="ru-RU"/>
    </w:rPr>
  </w:style>
  <w:style w:type="paragraph" w:styleId="75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9" w:customStyle="1">
    <w:name w:val="Основной текст (2)_"/>
    <w:basedOn w:val="735"/>
    <w:link w:val="760"/>
    <w:rPr>
      <w:rFonts w:eastAsia="Times New Roman" w:cs="Times New Roman"/>
      <w:shd w:val="clear" w:color="auto" w:fill="ffffff"/>
    </w:rPr>
  </w:style>
  <w:style w:type="paragraph" w:styleId="760" w:customStyle="1">
    <w:name w:val="Основной текст (2)"/>
    <w:basedOn w:val="731"/>
    <w:link w:val="759"/>
    <w:pPr>
      <w:ind w:hanging="700"/>
      <w:jc w:val="both"/>
      <w:spacing w:before="240" w:after="480" w:line="0" w:lineRule="atLeast"/>
      <w:shd w:val="clear" w:color="auto" w:fill="ffffff"/>
      <w:widowControl w:val="off"/>
    </w:pPr>
    <w:rPr>
      <w:rFonts w:eastAsia="Times New Roman" w:cs="Times New Roman"/>
      <w:lang w:val="ru-RU"/>
    </w:rPr>
  </w:style>
  <w:style w:type="character" w:styleId="761" w:customStyle="1">
    <w:name w:val="Текст у виносці Знак"/>
    <w:basedOn w:val="735"/>
    <w:link w:val="762"/>
    <w:uiPriority w:val="99"/>
    <w:semiHidden/>
    <w:rPr>
      <w:rFonts w:ascii="Segoe UI" w:hAnsi="Segoe UI" w:eastAsia="Times New Roman" w:cs="Segoe UI"/>
      <w:sz w:val="18"/>
      <w:szCs w:val="18"/>
      <w:lang w:eastAsia="ru-RU"/>
    </w:rPr>
  </w:style>
  <w:style w:type="paragraph" w:styleId="762">
    <w:name w:val="Balloon Text"/>
    <w:basedOn w:val="731"/>
    <w:link w:val="76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3" w:customStyle="1">
    <w:name w:val="Текст у виносці Знак1"/>
    <w:basedOn w:val="735"/>
    <w:uiPriority w:val="99"/>
    <w:semiHidden/>
    <w:rPr>
      <w:rFonts w:ascii="Segoe UI" w:hAnsi="Segoe UI" w:cs="Segoe UI"/>
      <w:sz w:val="18"/>
      <w:szCs w:val="18"/>
      <w:lang w:val="uk-UA"/>
    </w:rPr>
  </w:style>
  <w:style w:type="character" w:styleId="764" w:customStyle="1">
    <w:name w:val="T23"/>
    <w:rPr>
      <w:rFonts w:hint="default" w:ascii="Times New Roman" w:hAnsi="Times New Roman" w:eastAsia="Times New Roman1" w:cs="Times New Roman"/>
    </w:rPr>
  </w:style>
  <w:style w:type="paragraph" w:styleId="765" w:customStyle="1">
    <w:name w:val="Абзац списку1"/>
    <w:basedOn w:val="73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6" w:customStyle="1">
    <w:name w:val="markedcontent"/>
    <w:basedOn w:val="735"/>
  </w:style>
  <w:style w:type="paragraph" w:styleId="767">
    <w:name w:val="annotation text"/>
    <w:basedOn w:val="731"/>
    <w:link w:val="76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8" w:customStyle="1">
    <w:name w:val="Текст примітки Знак"/>
    <w:basedOn w:val="735"/>
    <w:link w:val="767"/>
    <w:uiPriority w:val="99"/>
    <w:rPr>
      <w:rFonts w:ascii="Times New Roman" w:hAnsi="Times New Roman" w:eastAsia="Times New Roman" w:cs="Times New Roman"/>
      <w:sz w:val="20"/>
      <w:szCs w:val="20"/>
      <w:lang w:eastAsia="ru-RU"/>
    </w:rPr>
  </w:style>
  <w:style w:type="character" w:styleId="769" w:customStyle="1">
    <w:name w:val="docdata"/>
    <w:basedOn w:val="735"/>
  </w:style>
  <w:style w:type="character" w:styleId="770" w:customStyle="1">
    <w:name w:val="Заголовок 3 Знак"/>
    <w:basedOn w:val="735"/>
    <w:link w:val="733"/>
    <w:uiPriority w:val="9"/>
    <w:semiHidden/>
    <w:rPr>
      <w:rFonts w:asciiTheme="majorHAnsi" w:hAnsiTheme="majorHAnsi" w:eastAsiaTheme="majorEastAsia" w:cstheme="majorBidi"/>
      <w:color w:val="1f4d78" w:themeColor="accent1" w:themeShade="7F"/>
      <w:sz w:val="24"/>
      <w:szCs w:val="24"/>
      <w:lang w:val="uk-UA"/>
    </w:rPr>
  </w:style>
  <w:style w:type="character" w:styleId="771" w:customStyle="1">
    <w:name w:val="Заголовок 4 Знак"/>
    <w:basedOn w:val="735"/>
    <w:link w:val="734"/>
    <w:uiPriority w:val="9"/>
    <w:semiHidden/>
    <w:rPr>
      <w:rFonts w:asciiTheme="majorHAnsi" w:hAnsiTheme="majorHAnsi" w:eastAsiaTheme="majorEastAsia" w:cstheme="majorBidi"/>
      <w:i/>
      <w:iCs/>
      <w:color w:val="2e74b5" w:themeColor="accent1" w:themeShade="BF"/>
      <w:lang w:val="uk-UA"/>
    </w:rPr>
  </w:style>
  <w:style w:type="paragraph" w:styleId="772" w:customStyle="1">
    <w:name w:val="name-spec"/>
    <w:basedOn w:val="73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3" w:customStyle="1">
    <w:name w:val="cont-spec"/>
    <w:basedOn w:val="73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4">
    <w:name w:val="Strong"/>
    <w:basedOn w:val="735"/>
    <w:uiPriority w:val="22"/>
    <w:qFormat/>
    <w:rPr>
      <w:b/>
      <w:bCs/>
    </w:rPr>
  </w:style>
  <w:style w:type="paragraph" w:styleId="775" w:customStyle="1">
    <w:name w:val="rvps6"/>
    <w:basedOn w:val="73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6"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table" w:styleId="777" w:customStyle="1">
    <w:name w:val="Сетка таблицы11"/>
    <w:basedOn w:val="736"/>
    <w:next w:val="740"/>
    <w:uiPriority w:val="39"/>
    <w:pPr>
      <w:spacing w:after="0" w:line="240" w:lineRule="auto"/>
    </w:pPr>
    <w:rPr>
      <w:rFonts w:ascii="Times New Roman" w:hAnsi="Times New Roman" w:eastAsia="Calibri" w:cs="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168</cp:revision>
  <dcterms:created xsi:type="dcterms:W3CDTF">2022-11-01T12:47:00Z</dcterms:created>
  <dcterms:modified xsi:type="dcterms:W3CDTF">2024-07-10T13:37:22Z</dcterms:modified>
</cp:coreProperties>
</file>