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7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джерел безперебійного живлення за кодом CPV за ЄЗС ДК 021:2015: 31150000-2 </w:t>
      </w:r>
      <w:r>
        <w:rPr>
          <w:b w:val="0"/>
          <w:bCs w:val="0"/>
          <w:sz w:val="24"/>
          <w:szCs w:val="24"/>
        </w:rPr>
        <w:t xml:space="preserve">Баласти</w:t>
      </w:r>
      <w:r>
        <w:rPr>
          <w:b w:val="0"/>
          <w:bCs w:val="0"/>
          <w:sz w:val="24"/>
          <w:szCs w:val="24"/>
        </w:rPr>
        <w:t xml:space="preserve"> для розрядних ламп чи трубок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89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007835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Закупівля джерел безперебійного живлення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3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Одиниця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Джерело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безперебійного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живлення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APS 5000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b/>
                <w:lang w:val="en-US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шт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Комплект </w:t>
            </w:r>
            <w:r>
              <w:rPr>
                <w:b/>
                <w:bCs/>
                <w:lang w:val="ru-RU"/>
              </w:rPr>
              <w:t xml:space="preserve">запобігання</w:t>
            </w:r>
            <w:r>
              <w:rPr>
                <w:b/>
                <w:bCs/>
                <w:lang w:val="ru-RU"/>
              </w:rPr>
              <w:t xml:space="preserve"> перепаду </w:t>
            </w:r>
            <w:r>
              <w:rPr>
                <w:b/>
                <w:bCs/>
                <w:lang w:val="ru-RU"/>
              </w:rPr>
              <w:t xml:space="preserve">напруги</w:t>
            </w:r>
            <w:r>
              <w:rPr>
                <w:b/>
                <w:bCs/>
                <w:lang w:val="ru-RU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b/>
                <w:lang w:val="en-US"/>
              </w:rPr>
              <w:t xml:space="preserve">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шт</w:t>
            </w:r>
            <w:r/>
          </w:p>
        </w:tc>
      </w:tr>
    </w:tbl>
    <w:p>
      <w:pPr>
        <w:pStyle w:val="685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685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</w:t>
      </w:r>
      <w:r>
        <w:rPr>
          <w:b/>
          <w:bCs/>
          <w:i/>
          <w:iCs/>
        </w:rPr>
        <w:t xml:space="preserve">.</w:t>
      </w:r>
      <w:r/>
    </w:p>
    <w:p>
      <w:pPr>
        <w:pStyle w:val="685"/>
        <w:ind w:firstLine="567"/>
        <w:jc w:val="both"/>
        <w:spacing w:after="0" w:line="240" w:lineRule="auto"/>
        <w:rPr>
          <w:color w:val="000000" w:themeColor="text1"/>
          <w:shd w:val="clear" w:color="auto" w:fill="ffffff"/>
        </w:rPr>
      </w:pPr>
      <w:r/>
      <w:bookmarkStart w:id="1" w:name="_Hlk131598067"/>
      <w:r>
        <w:rPr>
          <w:color w:val="000000" w:themeColor="text1"/>
          <w:shd w:val="clear" w:color="auto" w:fill="ffffff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2" w:name="_Hlk131682113"/>
      <w:r/>
      <w:bookmarkEnd w:id="1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81"/>
        <w:ind w:left="0" w:firstLine="567"/>
        <w:jc w:val="both"/>
        <w:spacing w:after="0" w:line="240" w:lineRule="auto"/>
        <w:tabs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складі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своєї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пропозиції</w:t>
      </w:r>
      <w:r>
        <w:rPr>
          <w:rFonts w:ascii="Times New Roman" w:hAnsi="Times New Roman" w:cs="Times New Roman"/>
          <w:sz w:val="24"/>
          <w:szCs w:val="24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</w:rPr>
        <w:t xml:space="preserve"> лист </w:t>
      </w:r>
      <w:r>
        <w:rPr>
          <w:rFonts w:ascii="Times New Roman" w:hAnsi="Times New Roman" w:cs="Times New Roman"/>
          <w:sz w:val="24"/>
          <w:szCs w:val="24"/>
        </w:rPr>
        <w:t xml:space="preserve">авторизацію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його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офіційного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представника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території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України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підтверджує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партнерські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відносини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між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учасником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виробником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його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офіційним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представником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Україні</w:t>
      </w:r>
      <w:r>
        <w:rPr>
          <w:rFonts w:ascii="Times New Roman" w:hAnsi="Times New Roman" w:cs="Times New Roman"/>
          <w:sz w:val="24"/>
          <w:szCs w:val="24"/>
        </w:rPr>
        <w:t xml:space="preserve">. У </w:t>
      </w:r>
      <w:r>
        <w:rPr>
          <w:rFonts w:ascii="Times New Roman" w:hAnsi="Times New Roman" w:cs="Times New Roman"/>
          <w:sz w:val="24"/>
          <w:szCs w:val="24"/>
        </w:rPr>
        <w:t xml:space="preserve">документі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має</w:t>
      </w:r>
      <w:r>
        <w:rPr>
          <w:rFonts w:ascii="Times New Roman" w:hAnsi="Times New Roman" w:cs="Times New Roman"/>
          <w:sz w:val="24"/>
          <w:szCs w:val="24"/>
        </w:rPr>
        <w:t xml:space="preserve"> бути </w:t>
      </w:r>
      <w:r>
        <w:rPr>
          <w:rFonts w:ascii="Times New Roman" w:hAnsi="Times New Roman" w:cs="Times New Roman"/>
          <w:sz w:val="24"/>
          <w:szCs w:val="24"/>
        </w:rPr>
        <w:t xml:space="preserve">чітко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визначено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замовника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назву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ідентифікатор</w:t>
      </w:r>
      <w:r>
        <w:rPr>
          <w:rFonts w:ascii="Times New Roman" w:hAnsi="Times New Roman" w:cs="Times New Roman"/>
          <w:sz w:val="24"/>
          <w:szCs w:val="24"/>
        </w:rPr>
        <w:t xml:space="preserve"> предмета </w:t>
      </w:r>
      <w:r>
        <w:rPr>
          <w:rFonts w:ascii="Times New Roman" w:hAnsi="Times New Roman" w:cs="Times New Roman"/>
          <w:sz w:val="24"/>
          <w:szCs w:val="24"/>
        </w:rPr>
        <w:t xml:space="preserve">закупівлі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81"/>
        <w:ind w:left="0" w:firstLine="567"/>
        <w:jc w:val="both"/>
        <w:spacing w:after="0" w:line="240" w:lineRule="auto"/>
        <w:tabs>
          <w:tab w:val="left" w:pos="993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Наявність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менше</w:t>
      </w:r>
      <w:r>
        <w:rPr>
          <w:rFonts w:ascii="Times New Roman" w:hAnsi="Times New Roman" w:cs="Times New Roman"/>
          <w:sz w:val="24"/>
          <w:szCs w:val="24"/>
        </w:rPr>
        <w:t xml:space="preserve"> 20-ти </w:t>
      </w:r>
      <w:r>
        <w:rPr>
          <w:rFonts w:ascii="Times New Roman" w:hAnsi="Times New Roman" w:cs="Times New Roman"/>
          <w:sz w:val="24"/>
          <w:szCs w:val="24"/>
        </w:rPr>
        <w:t xml:space="preserve">сервісних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центрів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території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України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</w:rPr>
        <w:t xml:space="preserve"> лист </w:t>
      </w:r>
      <w:r>
        <w:rPr>
          <w:rFonts w:ascii="Times New Roman" w:hAnsi="Times New Roman" w:cs="Times New Roman"/>
          <w:sz w:val="24"/>
          <w:szCs w:val="24"/>
        </w:rPr>
        <w:t xml:space="preserve"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 xml:space="preserve">переліком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сервісних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центрів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/>
    </w:p>
    <w:p>
      <w:pPr>
        <w:pStyle w:val="681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Технічна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документація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що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пропонується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посібник</w:t>
      </w:r>
      <w:r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 xml:space="preserve">експлуатації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тощо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має</w:t>
      </w:r>
      <w:r>
        <w:rPr>
          <w:rFonts w:ascii="Times New Roman" w:hAnsi="Times New Roman" w:cs="Times New Roman"/>
          <w:sz w:val="24"/>
          <w:szCs w:val="24"/>
        </w:rPr>
        <w:t xml:space="preserve"> бути доступна на </w:t>
      </w:r>
      <w:r>
        <w:rPr>
          <w:rFonts w:ascii="Times New Roman" w:hAnsi="Times New Roman" w:cs="Times New Roman"/>
          <w:sz w:val="24"/>
          <w:szCs w:val="24"/>
        </w:rPr>
        <w:t xml:space="preserve">офіційному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сайті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українській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англійській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російській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мові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81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Сертифікат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відповідності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ів</w:t>
      </w:r>
      <w:r>
        <w:rPr>
          <w:rFonts w:ascii="Times New Roman" w:hAnsi="Times New Roman" w:cs="Times New Roman"/>
          <w:sz w:val="24"/>
          <w:szCs w:val="24"/>
        </w:rPr>
        <w:t xml:space="preserve">) товару, </w:t>
      </w:r>
      <w:r>
        <w:rPr>
          <w:rFonts w:ascii="Times New Roman" w:hAnsi="Times New Roman" w:cs="Times New Roman"/>
          <w:sz w:val="24"/>
          <w:szCs w:val="24"/>
        </w:rPr>
        <w:t xml:space="preserve">товари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пропонує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постачання</w:t>
      </w:r>
      <w:r>
        <w:rPr>
          <w:rFonts w:ascii="Times New Roman" w:hAnsi="Times New Roman" w:cs="Times New Roman"/>
          <w:sz w:val="24"/>
          <w:szCs w:val="24"/>
        </w:rPr>
        <w:t xml:space="preserve">, на </w:t>
      </w:r>
      <w:r>
        <w:rPr>
          <w:rFonts w:ascii="Times New Roman" w:hAnsi="Times New Roman" w:cs="Times New Roman"/>
          <w:sz w:val="24"/>
          <w:szCs w:val="24"/>
        </w:rPr>
        <w:t xml:space="preserve">відповідність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стандартам «Система </w:t>
      </w:r>
      <w:r>
        <w:rPr>
          <w:rFonts w:ascii="Times New Roman" w:hAnsi="Times New Roman" w:cs="Times New Roman"/>
          <w:sz w:val="24"/>
          <w:szCs w:val="24"/>
        </w:rPr>
        <w:t xml:space="preserve">управління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якістю</w:t>
      </w:r>
      <w:r>
        <w:rPr>
          <w:rFonts w:ascii="Times New Roman" w:hAnsi="Times New Roman" w:cs="Times New Roman"/>
          <w:sz w:val="24"/>
          <w:szCs w:val="24"/>
        </w:rPr>
        <w:t xml:space="preserve"> ISO 9001» (для </w:t>
      </w:r>
      <w:r>
        <w:rPr>
          <w:rFonts w:ascii="Times New Roman" w:hAnsi="Times New Roman" w:cs="Times New Roman"/>
          <w:sz w:val="24"/>
          <w:szCs w:val="24"/>
        </w:rPr>
        <w:t xml:space="preserve">вітчизняного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ДСТУ ISO 9001), </w:t>
      </w:r>
      <w:r>
        <w:rPr>
          <w:rFonts w:ascii="Times New Roman" w:hAnsi="Times New Roman" w:cs="Times New Roman"/>
          <w:sz w:val="24"/>
          <w:szCs w:val="24"/>
        </w:rPr>
        <w:t xml:space="preserve">що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дійсний</w:t>
      </w:r>
      <w:r>
        <w:rPr>
          <w:rFonts w:ascii="Times New Roman" w:hAnsi="Times New Roman" w:cs="Times New Roman"/>
          <w:sz w:val="24"/>
          <w:szCs w:val="24"/>
        </w:rPr>
        <w:t xml:space="preserve"> на момент </w:t>
      </w:r>
      <w:r>
        <w:rPr>
          <w:rFonts w:ascii="Times New Roman" w:hAnsi="Times New Roman" w:cs="Times New Roman"/>
          <w:sz w:val="24"/>
          <w:szCs w:val="24"/>
        </w:rPr>
        <w:t xml:space="preserve">розкриття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пропозицій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дозволяється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викладення</w:t>
      </w:r>
      <w:r>
        <w:rPr>
          <w:rFonts w:ascii="Times New Roman" w:hAnsi="Times New Roman" w:cs="Times New Roman"/>
          <w:sz w:val="24"/>
          <w:szCs w:val="24"/>
        </w:rPr>
        <w:t xml:space="preserve"> на ENG\UKR </w:t>
      </w:r>
      <w:r>
        <w:rPr>
          <w:rFonts w:ascii="Times New Roman" w:hAnsi="Times New Roman" w:cs="Times New Roman"/>
          <w:sz w:val="24"/>
          <w:szCs w:val="24"/>
        </w:rPr>
        <w:t xml:space="preserve">мовах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/>
    </w:p>
    <w:p>
      <w:pPr>
        <w:pStyle w:val="681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Сертифікат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відповідності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ів</w:t>
      </w:r>
      <w:r>
        <w:rPr>
          <w:rFonts w:ascii="Times New Roman" w:hAnsi="Times New Roman" w:cs="Times New Roman"/>
          <w:sz w:val="24"/>
          <w:szCs w:val="24"/>
        </w:rPr>
        <w:t xml:space="preserve">) товару, </w:t>
      </w:r>
      <w:r>
        <w:rPr>
          <w:rFonts w:ascii="Times New Roman" w:hAnsi="Times New Roman" w:cs="Times New Roman"/>
          <w:sz w:val="24"/>
          <w:szCs w:val="24"/>
        </w:rPr>
        <w:t xml:space="preserve">товари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пропонує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постачання</w:t>
      </w:r>
      <w:r>
        <w:rPr>
          <w:rFonts w:ascii="Times New Roman" w:hAnsi="Times New Roman" w:cs="Times New Roman"/>
          <w:sz w:val="24"/>
          <w:szCs w:val="24"/>
        </w:rPr>
        <w:t xml:space="preserve">, на </w:t>
      </w:r>
      <w:r>
        <w:rPr>
          <w:rFonts w:ascii="Times New Roman" w:hAnsi="Times New Roman" w:cs="Times New Roman"/>
          <w:sz w:val="24"/>
          <w:szCs w:val="24"/>
        </w:rPr>
        <w:t xml:space="preserve">відповідність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стандартам «Система </w:t>
      </w:r>
      <w:r>
        <w:rPr>
          <w:rFonts w:ascii="Times New Roman" w:hAnsi="Times New Roman" w:cs="Times New Roman"/>
          <w:sz w:val="24"/>
          <w:szCs w:val="24"/>
        </w:rPr>
        <w:t xml:space="preserve">екологічного</w:t>
      </w:r>
      <w:r>
        <w:rPr>
          <w:rFonts w:ascii="Times New Roman" w:hAnsi="Times New Roman" w:cs="Times New Roman"/>
          <w:sz w:val="24"/>
          <w:szCs w:val="24"/>
        </w:rPr>
        <w:t xml:space="preserve"> менеджменту ISO 14001» (для </w:t>
      </w:r>
      <w:r>
        <w:rPr>
          <w:rFonts w:ascii="Times New Roman" w:hAnsi="Times New Roman" w:cs="Times New Roman"/>
          <w:sz w:val="24"/>
          <w:szCs w:val="24"/>
        </w:rPr>
        <w:t xml:space="preserve">вітчизняного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ДСТУ ISO 14001) </w:t>
      </w:r>
      <w:r>
        <w:rPr>
          <w:rFonts w:ascii="Times New Roman" w:hAnsi="Times New Roman" w:cs="Times New Roman"/>
          <w:sz w:val="24"/>
          <w:szCs w:val="24"/>
        </w:rPr>
        <w:t xml:space="preserve">що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дійсний</w:t>
      </w:r>
      <w:r>
        <w:rPr>
          <w:rFonts w:ascii="Times New Roman" w:hAnsi="Times New Roman" w:cs="Times New Roman"/>
          <w:sz w:val="24"/>
          <w:szCs w:val="24"/>
        </w:rPr>
        <w:t xml:space="preserve"> на момент </w:t>
      </w:r>
      <w:r>
        <w:rPr>
          <w:rFonts w:ascii="Times New Roman" w:hAnsi="Times New Roman" w:cs="Times New Roman"/>
          <w:sz w:val="24"/>
          <w:szCs w:val="24"/>
        </w:rPr>
        <w:t xml:space="preserve">розкриття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пропозицій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дозволяється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викладення</w:t>
      </w:r>
      <w:r>
        <w:rPr>
          <w:rFonts w:ascii="Times New Roman" w:hAnsi="Times New Roman" w:cs="Times New Roman"/>
          <w:sz w:val="24"/>
          <w:szCs w:val="24"/>
        </w:rPr>
        <w:t xml:space="preserve"> на ENG\UKR </w:t>
      </w:r>
      <w:r>
        <w:rPr>
          <w:rFonts w:ascii="Times New Roman" w:hAnsi="Times New Roman" w:cs="Times New Roman"/>
          <w:sz w:val="24"/>
          <w:szCs w:val="24"/>
        </w:rPr>
        <w:t xml:space="preserve">мовах</w:t>
      </w:r>
      <w:r>
        <w:rPr>
          <w:rFonts w:ascii="Times New Roman" w:hAnsi="Times New Roman" w:cs="Times New Roman"/>
          <w:sz w:val="24"/>
          <w:szCs w:val="24"/>
        </w:rPr>
        <w:t xml:space="preserve">).</w:t>
      </w:r>
      <w:r/>
    </w:p>
    <w:p>
      <w:pPr>
        <w:pStyle w:val="681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11</w:t>
      </w:r>
      <w:r>
        <w:rPr>
          <w:rFonts w:ascii="Times New Roman" w:hAnsi="Times New Roman" w:cs="Times New Roman"/>
          <w:sz w:val="24"/>
          <w:szCs w:val="24"/>
        </w:rPr>
        <w:t xml:space="preserve">. На </w:t>
      </w:r>
      <w:r>
        <w:rPr>
          <w:rFonts w:ascii="Times New Roman" w:hAnsi="Times New Roman" w:cs="Times New Roman"/>
          <w:sz w:val="24"/>
          <w:szCs w:val="24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</w:rPr>
        <w:t xml:space="preserve"> (Товар), </w:t>
      </w:r>
      <w:r>
        <w:rPr>
          <w:rFonts w:ascii="Times New Roman" w:hAnsi="Times New Roman" w:cs="Times New Roman"/>
          <w:sz w:val="24"/>
          <w:szCs w:val="24"/>
        </w:rPr>
        <w:t xml:space="preserve">що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пропонує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, у </w:t>
      </w:r>
      <w:r>
        <w:rPr>
          <w:rFonts w:ascii="Times New Roman" w:hAnsi="Times New Roman" w:cs="Times New Roman"/>
          <w:sz w:val="24"/>
          <w:szCs w:val="24"/>
        </w:rPr>
        <w:t xml:space="preserve">складі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своєї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тендерної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пропозиції</w:t>
      </w:r>
      <w:r>
        <w:rPr>
          <w:rFonts w:ascii="Times New Roman" w:hAnsi="Times New Roman" w:cs="Times New Roman"/>
          <w:sz w:val="24"/>
          <w:szCs w:val="24"/>
        </w:rPr>
        <w:t xml:space="preserve">, повинен </w:t>
      </w:r>
      <w:r>
        <w:rPr>
          <w:rFonts w:ascii="Times New Roman" w:hAnsi="Times New Roman" w:cs="Times New Roman"/>
          <w:sz w:val="24"/>
          <w:szCs w:val="24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копію</w:t>
      </w:r>
      <w:r>
        <w:rPr>
          <w:rFonts w:ascii="Times New Roman" w:hAnsi="Times New Roman" w:cs="Times New Roman"/>
          <w:sz w:val="24"/>
          <w:szCs w:val="24"/>
        </w:rPr>
        <w:t xml:space="preserve"> документу, </w:t>
      </w:r>
      <w:r>
        <w:rPr>
          <w:rFonts w:ascii="Times New Roman" w:hAnsi="Times New Roman" w:cs="Times New Roman"/>
          <w:sz w:val="24"/>
          <w:szCs w:val="24"/>
        </w:rPr>
        <w:t xml:space="preserve">що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підтверджує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відповідність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виготовленої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продукції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діючим</w:t>
      </w:r>
      <w:r>
        <w:rPr>
          <w:rFonts w:ascii="Times New Roman" w:hAnsi="Times New Roman" w:cs="Times New Roman"/>
          <w:sz w:val="24"/>
          <w:szCs w:val="24"/>
        </w:rPr>
        <w:t xml:space="preserve"> стандартам </w:t>
      </w:r>
      <w:r>
        <w:rPr>
          <w:rFonts w:ascii="Times New Roman" w:hAnsi="Times New Roman" w:cs="Times New Roman"/>
          <w:sz w:val="24"/>
          <w:szCs w:val="24"/>
        </w:rPr>
        <w:t xml:space="preserve">якості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нормативним</w:t>
      </w:r>
      <w:r>
        <w:rPr>
          <w:rFonts w:ascii="Times New Roman" w:hAnsi="Times New Roman" w:cs="Times New Roman"/>
          <w:sz w:val="24"/>
          <w:szCs w:val="24"/>
        </w:rPr>
        <w:t xml:space="preserve"> документам </w:t>
      </w:r>
      <w:r>
        <w:rPr>
          <w:rFonts w:ascii="Times New Roman" w:hAnsi="Times New Roman" w:cs="Times New Roman"/>
          <w:sz w:val="24"/>
          <w:szCs w:val="24"/>
        </w:rPr>
        <w:t xml:space="preserve">України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сертифікованим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виробництва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Декларацію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відповідності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Сертифікат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відповідності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УкрСЕПРО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81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 xml:space="preserve">Гарантійні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зобов’язання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всіх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найменувань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повинні</w:t>
      </w:r>
      <w:r>
        <w:rPr>
          <w:rFonts w:ascii="Times New Roman" w:hAnsi="Times New Roman" w:cs="Times New Roman"/>
          <w:sz w:val="24"/>
          <w:szCs w:val="24"/>
        </w:rPr>
        <w:t xml:space="preserve"> бути не </w:t>
      </w:r>
      <w:r>
        <w:rPr>
          <w:rFonts w:ascii="Times New Roman" w:hAnsi="Times New Roman" w:cs="Times New Roman"/>
          <w:sz w:val="24"/>
          <w:szCs w:val="24"/>
        </w:rPr>
        <w:t xml:space="preserve">менше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строків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визначених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товарів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Постачальник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забезпечити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обслуговування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підтримку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протягом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гарантійного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терміну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.</w:t>
      </w:r>
      <w:r/>
    </w:p>
    <w:p>
      <w:pPr>
        <w:pStyle w:val="68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8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81"/>
        <w:ind w:left="0" w:firstLine="567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Джерело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безперебійного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живлення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APS 5000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(4 штуки)</w:t>
      </w:r>
      <w:r/>
    </w:p>
    <w:tbl>
      <w:tblPr>
        <w:tblW w:w="964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20"/>
        <w:gridCol w:w="532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Потужність, не менше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0ВА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0Вт)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Топологія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Лінійно-інтерактивний, з вбудованим регулятором напруги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Конструктив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монтажу в стійку 19” / Башта.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 монтажними рейками в постачанні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Діапазон вхідної напруги, не гірше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151-305В, з можливістю налаштування верхнього і нижнього порогу окремо.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Вхідна частота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50/60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+/- 3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Вихідна напруга при роботі від батареї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Чиста синусоїда, з можливістю налаштування 220/230/240 В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перемикання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2мс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максимально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роботи від батареї при навантаженні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хв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00Вт)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батареї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Герметичні необслуговувані свинцево-кислотні акумулятори з типовим терміном служби 3-5 років 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перезарядки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батарей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години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Максимальна енергія імпульсу що поглинається, не менше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Вихідні роз'єми з батарейною підтримкою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8 типу IEC320 C13 та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типу IEC320 C19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Панель керування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Світлодіодна індикація стану і режимів роботи ДБЖ, шкали навантаження і заряду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батарей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Звукова сигналізація з можливістю відключення.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Комунікаційні можливості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DB-9 RS-232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Встановлена плата WEB/SNMP.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Габарити ВШГ, не більше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225х485х660мм,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5U при монтажі в стійку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Додаткові функції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Роз'єм EPO.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Можливість заміни батареї користувачем.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Програмне забезпечення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комплекті поставки, або у вільному доступі для завантаження на сайті виробника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Гарантійний термін, не менше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роки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Відповідність вимогам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CE, VDE, IEC 62040-1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r>
      <w:r/>
    </w:p>
    <w:p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Комплект запобігання напруги (50 штук),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 складі: 2-х ДБЖ з характеристиками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кожного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</w:t>
      </w:r>
      <w:r/>
    </w:p>
    <w:tbl>
      <w:tblPr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320"/>
        <w:gridCol w:w="5319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Потужність, не менше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00VA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0W)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Топологія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Лінійно-інтерактивний, з вбудованим регулятором напруги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Діапазон вхідної напруги, не гірше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0В, з можливістю налаштування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Вхідна частота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50/60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+/-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Гц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Вихідна напруга при роботі від батареї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Апроксимована синусоїда, 230В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перемикання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мс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мс - максимально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Ємність батареї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2шт 7 А*г, 12 Вольт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роботи від батареї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хв (7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0Вт)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батареї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Герметичні необслуговувані свинцево-кислотні акумулятори з типовим терміном служби 3-5 років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перезарядки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батарей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годин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Максимальна енергія імпульсу що поглинається, не менше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Вихідні роз'єми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4-х типу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Schuko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батарейною підтримкою та захистом від сплесків напруги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Панель керування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Індикація режимів роботи та стану ДБЖ за допомогою світлодіодів і звукової сигналізації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Комунікаційні можливості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USB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Програмне забезпечення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комплекті поставки, або у вільному доступі для завантаження на сайті виробника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Додаткові функції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Автоматичний вбудований тест.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Наявність захисту ліній передачі даних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Ethernet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Gb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Особливості конструкції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Розташування роз'ємів в тильній частині ДБЖ.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Можливість відключення батареї для транспортування без розбору ДБЖ.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Багаторазовий автоматичний запобіжник.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Робочі температури, не гірше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0-40°С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Габарити ВШГ, не більше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190х14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90мм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Вага, не більше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Гарантійний термін, не менше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роки</w:t>
            </w:r>
            <w:r/>
          </w:p>
        </w:tc>
      </w:tr>
      <w:tr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Відповідність вимогам та сертифікатам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31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CB, CE, EN/IEC 62040-1, EN/IEC 62040-2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ru-RU"/>
        </w:rPr>
      </w:r>
      <w:bookmarkEnd w:id="0"/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європейськими стандартами, іншими </w:t>
      </w:r>
      <w:r>
        <w:rPr>
          <w:rFonts w:ascii="Times New Roman" w:hAnsi="Times New Roman" w:cs="Times New Roman"/>
          <w:i/>
          <w:sz w:val="24"/>
          <w:szCs w:val="24"/>
        </w:rPr>
        <w:t xml:space="preserve">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2 852 956,63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два мільйони вісімсот п’ятдесят дві тисячі дев’ятсот п’ятдесят шість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7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6"/>
  </w:num>
  <w:num w:numId="8">
    <w:abstractNumId w:val="14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8"/>
    <w:link w:val="67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8"/>
    <w:link w:val="42"/>
    <w:uiPriority w:val="99"/>
  </w:style>
  <w:style w:type="character" w:styleId="45">
    <w:name w:val="Footer Char"/>
    <w:basedOn w:val="678"/>
    <w:link w:val="687"/>
    <w:uiPriority w:val="99"/>
  </w:style>
  <w:style w:type="paragraph" w:styleId="46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7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rPr>
      <w:lang w:val="uk-UA"/>
    </w:rPr>
  </w:style>
  <w:style w:type="paragraph" w:styleId="677">
    <w:name w:val="Heading 2"/>
    <w:basedOn w:val="676"/>
    <w:link w:val="69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List Paragraph"/>
    <w:basedOn w:val="676"/>
    <w:link w:val="6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2" w:customStyle="1">
    <w:name w:val="Абзац списку Знак"/>
    <w:link w:val="681"/>
    <w:uiPriority w:val="34"/>
    <w:rPr>
      <w:rFonts w:ascii="Calibri" w:hAnsi="Calibri" w:eastAsia="Calibri" w:cs="Calibri"/>
      <w:lang w:eastAsia="zh-CN"/>
    </w:rPr>
  </w:style>
  <w:style w:type="table" w:styleId="683">
    <w:name w:val="Table Grid"/>
    <w:basedOn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4" w:customStyle="1">
    <w:name w:val="Сетка таблицы2"/>
    <w:basedOn w:val="679"/>
    <w:next w:val="683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5">
    <w:name w:val="Normal (Web)"/>
    <w:basedOn w:val="676"/>
    <w:link w:val="692"/>
    <w:unhideWhenUsed/>
    <w:qFormat/>
    <w:rPr>
      <w:rFonts w:ascii="Times New Roman" w:hAnsi="Times New Roman" w:cs="Times New Roman"/>
      <w:sz w:val="24"/>
      <w:szCs w:val="24"/>
    </w:rPr>
  </w:style>
  <w:style w:type="table" w:styleId="686" w:customStyle="1">
    <w:name w:val="Сетка таблицы1"/>
    <w:basedOn w:val="679"/>
    <w:next w:val="683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7">
    <w:name w:val="Footer"/>
    <w:basedOn w:val="676"/>
    <w:link w:val="688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8" w:customStyle="1">
    <w:name w:val="Нижній колонтитул Знак"/>
    <w:basedOn w:val="678"/>
    <w:link w:val="687"/>
    <w:uiPriority w:val="99"/>
    <w:rPr>
      <w:rFonts w:ascii="Calibri" w:hAnsi="Calibri" w:eastAsia="Calibri" w:cs="Calibri"/>
      <w:lang w:eastAsia="zh-CN"/>
    </w:rPr>
  </w:style>
  <w:style w:type="paragraph" w:styleId="689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0">
    <w:name w:val="Hyperlink"/>
    <w:basedOn w:val="678"/>
    <w:uiPriority w:val="99"/>
    <w:unhideWhenUsed/>
    <w:rPr>
      <w:color w:val="0563c1" w:themeColor="hyperlink"/>
      <w:u w:val="single"/>
    </w:rPr>
  </w:style>
  <w:style w:type="character" w:styleId="691" w:customStyle="1">
    <w:name w:val="xfm_93972720"/>
    <w:basedOn w:val="678"/>
  </w:style>
  <w:style w:type="character" w:styleId="692" w:customStyle="1">
    <w:name w:val="Звичайний (веб) Знак"/>
    <w:link w:val="685"/>
    <w:qFormat/>
    <w:rPr>
      <w:rFonts w:ascii="Times New Roman" w:hAnsi="Times New Roman" w:cs="Times New Roman"/>
      <w:sz w:val="24"/>
      <w:szCs w:val="24"/>
      <w:lang w:val="uk-UA"/>
    </w:rPr>
  </w:style>
  <w:style w:type="paragraph" w:styleId="693">
    <w:name w:val="Body Text 2"/>
    <w:basedOn w:val="676"/>
    <w:link w:val="694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94" w:customStyle="1">
    <w:name w:val="Основний текст 2 Знак"/>
    <w:basedOn w:val="678"/>
    <w:link w:val="69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5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96" w:customStyle="1">
    <w:name w:val="Заголовок 2 Знак"/>
    <w:basedOn w:val="678"/>
    <w:link w:val="677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97">
    <w:name w:val="No Spacing"/>
    <w:link w:val="698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98" w:customStyle="1">
    <w:name w:val="Без інтервалів Знак"/>
    <w:basedOn w:val="678"/>
    <w:link w:val="697"/>
    <w:uiPriority w:val="1"/>
    <w:rPr>
      <w:rFonts w:ascii="Calibri" w:hAnsi="Calibri" w:eastAsia="Calibri" w:cs="Times New Roman"/>
      <w:lang w:val="uk-UA"/>
    </w:rPr>
  </w:style>
  <w:style w:type="character" w:styleId="699" w:customStyle="1">
    <w:name w:val="Другое_"/>
    <w:basedOn w:val="678"/>
    <w:link w:val="700"/>
    <w:rPr>
      <w:rFonts w:ascii="Calibri" w:hAnsi="Calibri" w:eastAsia="Calibri" w:cs="Calibri"/>
      <w:sz w:val="20"/>
      <w:szCs w:val="20"/>
    </w:rPr>
  </w:style>
  <w:style w:type="paragraph" w:styleId="700" w:customStyle="1">
    <w:name w:val="Другое"/>
    <w:basedOn w:val="676"/>
    <w:link w:val="699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74</cp:revision>
  <dcterms:created xsi:type="dcterms:W3CDTF">2022-11-01T12:47:00Z</dcterms:created>
  <dcterms:modified xsi:type="dcterms:W3CDTF">2023-05-04T15:23:56Z</dcterms:modified>
</cp:coreProperties>
</file>