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1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bookmarkStart w:id="0" w:name="_Hlk144999550"/>
      <w:r>
        <w:rPr>
          <w:b w:val="0"/>
          <w:bCs w:val="0"/>
          <w:sz w:val="24"/>
          <w:szCs w:val="24"/>
        </w:rPr>
        <w:t xml:space="preserve">Закупівля сейфів та металевих шаф за ДК 021:2015: 44420000-0 </w:t>
      </w:r>
      <w:bookmarkEnd w:id="0"/>
      <w:r>
        <w:rPr>
          <w:b w:val="0"/>
          <w:bCs w:val="0"/>
          <w:sz w:val="24"/>
          <w:szCs w:val="24"/>
        </w:rPr>
        <w:t xml:space="preserve">Будівельні товари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011630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сейфів та металевих шаф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7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9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Сейф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</w:pPr>
            <w:r>
              <w:rPr>
                <w:b/>
                <w:bCs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9"/>
              <w:rPr>
                <w:rFonts w:eastAsia="Calibri"/>
                <w:b/>
                <w:bCs/>
              </w:rPr>
            </w:pPr>
            <w:r>
              <w:rPr>
                <w:rStyle w:val="723"/>
                <w:b/>
                <w:bCs/>
                <w:shd w:val="clear" w:color="auto" w:fill="ffffff"/>
              </w:rPr>
              <w:t xml:space="preserve">Металева вогнестійка</w:t>
            </w:r>
            <w:r>
              <w:rPr>
                <w:b/>
                <w:bCs/>
                <w:shd w:val="clear" w:color="auto" w:fill="ffffff"/>
              </w:rPr>
              <w:br/>
            </w:r>
            <w:r>
              <w:rPr>
                <w:rStyle w:val="723"/>
                <w:b/>
                <w:bCs/>
                <w:shd w:val="clear" w:color="auto" w:fill="ffffff"/>
              </w:rPr>
              <w:t xml:space="preserve">шафа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9"/>
              <w:rPr>
                <w:b/>
                <w:bCs/>
                <w:shd w:val="clear" w:color="auto" w:fill="ffffff"/>
              </w:rPr>
            </w:pPr>
            <w:r>
              <w:rPr>
                <w:rStyle w:val="723"/>
                <w:b/>
                <w:bCs/>
                <w:shd w:val="clear" w:color="auto" w:fill="ffffff"/>
              </w:rPr>
              <w:t xml:space="preserve">Шафа металева офісна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9"/>
              <w:rPr>
                <w:b/>
                <w:bCs/>
                <w:shd w:val="clear" w:color="auto" w:fill="ffffff"/>
              </w:rPr>
            </w:pPr>
            <w:r>
              <w:rPr>
                <w:rStyle w:val="723"/>
                <w:b/>
                <w:bCs/>
                <w:shd w:val="clear" w:color="auto" w:fill="ffffff"/>
              </w:rPr>
              <w:t xml:space="preserve">Металева шафа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/>
          </w:p>
        </w:tc>
      </w:tr>
    </w:tbl>
    <w:p>
      <w:pPr>
        <w:pStyle w:val="699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 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Надати гарантійний лист, що Товар відповідає діючим вимогам природоохоронного законодавства.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5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pStyle w:val="69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Сейф –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шт.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Характеристика: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– 43 см;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– 20 см;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– 35 см;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Колір - чорний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143250" cy="246697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143250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47.5pt;height:194.2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numPr>
          <w:ilvl w:val="0"/>
          <w:numId w:val="23"/>
        </w:num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outlineLvl w:val="0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Шафа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металева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офісна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– 2 шт.</w:t>
      </w:r>
      <w:r/>
    </w:p>
    <w:p>
      <w:pPr>
        <w:pStyle w:val="695"/>
        <w:ind w:left="360"/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uk-UA"/>
        </w:rPr>
        <w:t xml:space="preserve">Характеристики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: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38400" cy="2438400"/>
                <wp:effectExtent l="0" t="0" r="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438400" cy="243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92.0pt;height:192.0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Тип 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офісний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Зовнішні розміри, мм *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Висота 1526 мм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Ширина 460 мм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Глибина 350 мм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* Розміри вказані без урахування виступаючих частин: замка, ручки, петель. Відхилення від вказаних розмірів може становити +/- 3 мм.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Внутрішні розміри, мм *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Висота 1498 мм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Ширина 458 мм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Глибина 327 мм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* Відхилення від вказаних розмірів може становити +/- 3 мм.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Загальні *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Об'єм, л 224,3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Маса, кг 48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Товщина металу корпусу, мм 1,2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Товщина металу дверей, мм 1,2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замиканняригельна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система (2 хромованих активних ригелі, що обертаються, діаметр ригеля 16 мм)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Тип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замкаключовий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сувальдний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замок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Тип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покриттяпорошкове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покриття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Колірсірий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(RAL 7040)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Серія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продуктівB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* Відхилення від вказаної ваги може становити +/- 10%.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Стандартна комплектація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Каса1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Полиці2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Доповнення анкерні вузли для кріплення сейфа до підлоги; 3 окремі секції, які замикаються на замок.</w:t>
      </w:r>
      <w:r/>
    </w:p>
    <w:p>
      <w:pPr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pStyle w:val="690"/>
        <w:numPr>
          <w:ilvl w:val="0"/>
          <w:numId w:val="23"/>
        </w:numPr>
        <w:ind w:left="284"/>
        <w:spacing w:before="0"/>
        <w:shd w:val="clear" w:color="auto" w:fill="ffffff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Металева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вогнетривка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шафа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– 1шт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Характеристики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Тип 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Тип вогнестійкий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Зовнішні розміри, мм *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Висота1230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Ширина640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Глибина500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* Розміри вказані без урахування виступаючих частин: замка, ручки, петель. Відхилення від вказаних розмірів може становити +/- 3 мм.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Внутрішні розміри, мм *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Висота1128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Ширина554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Глибина353 мм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* Відхилення від вказаних розмірів може становити +/- 3 мм.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Загальні *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Об'єм, л220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Маса, кг113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Товщина захисного шару, мм43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Зламостійкістьклас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S2 по ДСТУ EN 14450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Система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замиканняригельна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система тристоронньої дії (4 хромованих активних ригелі, що обертаються, діаметр ригеля 25 мм),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антизрізи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 боку петель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Тип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замкаключовий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сейфовий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замок STUV (Німеччина), сертифікат класу VDS 1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Вогнестійкістьклас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LFS 30P по ДСТУ EN 15659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Тип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покриттяпорошкове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покриття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Колірантрацитово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-сірий,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кремово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-білий (RAL 7016, RAL 9001)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Серія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продуктівFSL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* Відхилення від вказаної ваги може становити +/- 10%.</w:t>
      </w:r>
      <w:r/>
    </w:p>
    <w:p>
      <w:pPr>
        <w:spacing w:after="0" w:line="240" w:lineRule="auto"/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bCs/>
          <w:spacing w:val="1"/>
          <w:sz w:val="24"/>
          <w:szCs w:val="24"/>
          <w:lang w:eastAsia="uk-UA"/>
        </w:rPr>
        <w:t xml:space="preserve">Стандартна комплектація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Каса1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Полиці2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Доповненнятермострічка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BASF (Німеччина) по периметру дверей.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86100" cy="3086100"/>
                <wp:effectExtent l="0" t="0" r="0" b="0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0861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43.0pt;height:243.0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0</wp:posOffset>
                </wp:positionV>
                <wp:extent cx="2871255" cy="3181350"/>
                <wp:effectExtent l="0" t="0" r="5715" b="0"/>
                <wp:wrapTight wrapText="bothSides">
                  <wp:wrapPolygon edited="1">
                    <wp:start x="0" y="0"/>
                    <wp:lineTo x="0" y="21471"/>
                    <wp:lineTo x="21500" y="21471"/>
                    <wp:lineTo x="21500" y="0"/>
                    <wp:lineTo x="0" y="0"/>
                  </wp:wrapPolygon>
                </wp:wrapTight>
                <wp:docPr id="4" name="Рисунок 2" descr="Архівна шафа AM-18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Архівна шафа AM-184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871255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9264;o:allowoverlap:true;o:allowincell:true;mso-position-horizontal-relative:text;margin-left:9.4pt;mso-position-horizontal:absolute;mso-position-vertical-relative:text;margin-top:0.0pt;mso-position-vertical:absolute;width:226.1pt;height:250.5pt;mso-wrap-distance-left:9.0pt;mso-wrap-distance-top:0.0pt;mso-wrap-distance-right:9.0pt;mso-wrap-distance-bottom:0.0pt;" wrapcoords="0 0 0 99403 99537 99403 99537 0 0 0" stroked="f">
                <v:path textboxrect="0,0,0,0"/>
                <w10:wrap type="tight"/>
                <v:imagedata r:id="rId14" o:title=""/>
              </v:shape>
            </w:pict>
          </mc:Fallback>
        </mc:AlternateContent>
      </w:r>
      <w:r/>
    </w:p>
    <w:p>
      <w:pPr>
        <w:pStyle w:val="69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Металева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шафа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1шт.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Характеристики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Тип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шафа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архівна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Розміри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зовнішні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ВхШхГ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мм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650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*45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</w:t>
      </w:r>
      <w:r>
        <w:rPr>
          <w:rFonts w:ascii="Times New Roman" w:hAnsi="Times New Roman" w:cs="Times New Roman"/>
          <w:sz w:val="24"/>
          <w:szCs w:val="24"/>
        </w:rPr>
        <w:t xml:space="preserve"> ячейки -350мм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Тип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замку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ключовий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Вага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 більше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36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кг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Колір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сірий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напівматовий</w:t>
      </w:r>
      <w:r/>
    </w:p>
    <w:p>
      <w:pPr>
        <w:pStyle w:val="695"/>
        <w:ind w:left="36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Характерипстики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повинні бути не гіршими ніж наведені в Специфікації. Відхилення від розмірів вказаних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Специфікакції</w:t>
      </w:r>
      <w:r>
        <w:rPr>
          <w:rFonts w:ascii="Times New Roman" w:hAnsi="Times New Roman" w:cs="Times New Roman"/>
          <w:bCs/>
          <w:sz w:val="24"/>
          <w:szCs w:val="24"/>
        </w:rPr>
        <w:t xml:space="preserve"> може бути не більше 10 мм.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83 799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вісімдесят три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сімсот дев’яносто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15"/>
  </w:num>
  <w:num w:numId="5">
    <w:abstractNumId w:val="5"/>
  </w:num>
  <w:num w:numId="6">
    <w:abstractNumId w:val="18"/>
  </w:num>
  <w:num w:numId="7">
    <w:abstractNumId w:val="8"/>
  </w:num>
  <w:num w:numId="8">
    <w:abstractNumId w:val="20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0"/>
  </w:num>
  <w:num w:numId="18">
    <w:abstractNumId w:val="21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2"/>
    <w:link w:val="690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2"/>
    <w:link w:val="691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9"/>
    <w:next w:val="689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92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9"/>
    <w:next w:val="68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92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9"/>
    <w:next w:val="68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92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9"/>
    <w:next w:val="68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92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92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92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92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9"/>
    <w:next w:val="68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92"/>
    <w:link w:val="33"/>
    <w:uiPriority w:val="10"/>
    <w:rPr>
      <w:sz w:val="48"/>
      <w:szCs w:val="48"/>
    </w:rPr>
  </w:style>
  <w:style w:type="paragraph" w:styleId="35">
    <w:name w:val="Subtitle"/>
    <w:basedOn w:val="689"/>
    <w:next w:val="68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92"/>
    <w:link w:val="35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9"/>
    <w:next w:val="68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92"/>
    <w:link w:val="41"/>
    <w:uiPriority w:val="99"/>
  </w:style>
  <w:style w:type="character" w:styleId="44">
    <w:name w:val="Footer Char"/>
    <w:basedOn w:val="692"/>
    <w:link w:val="701"/>
    <w:uiPriority w:val="99"/>
  </w:style>
  <w:style w:type="paragraph" w:styleId="45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01"/>
    <w:uiPriority w:val="99"/>
  </w:style>
  <w:style w:type="table" w:styleId="48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92"/>
    <w:uiPriority w:val="99"/>
    <w:unhideWhenUsed/>
    <w:rPr>
      <w:vertAlign w:val="superscript"/>
    </w:rPr>
  </w:style>
  <w:style w:type="paragraph" w:styleId="177">
    <w:name w:val="endnote text"/>
    <w:basedOn w:val="68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92"/>
    <w:uiPriority w:val="99"/>
    <w:semiHidden/>
    <w:unhideWhenUsed/>
    <w:rPr>
      <w:vertAlign w:val="superscript"/>
    </w:rPr>
  </w:style>
  <w:style w:type="paragraph" w:styleId="180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rPr>
      <w:lang w:val="uk-UA"/>
    </w:rPr>
  </w:style>
  <w:style w:type="paragraph" w:styleId="690">
    <w:name w:val="Heading 1"/>
    <w:basedOn w:val="689"/>
    <w:next w:val="689"/>
    <w:link w:val="722"/>
    <w:uiPriority w:val="9"/>
    <w:qFormat/>
    <w:pPr>
      <w:keepLines/>
      <w:keepNext/>
      <w:spacing w:before="240" w:after="0" w:line="240" w:lineRule="auto"/>
      <w:widowControl w:val="off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ru-RU" w:eastAsia="ru-RU"/>
    </w:rPr>
  </w:style>
  <w:style w:type="paragraph" w:styleId="691">
    <w:name w:val="Heading 2"/>
    <w:basedOn w:val="689"/>
    <w:link w:val="71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List Paragraph"/>
    <w:basedOn w:val="689"/>
    <w:link w:val="69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6" w:customStyle="1">
    <w:name w:val="Абзац списку Знак"/>
    <w:link w:val="695"/>
    <w:uiPriority w:val="34"/>
    <w:rPr>
      <w:rFonts w:ascii="Calibri" w:hAnsi="Calibri" w:eastAsia="Calibri" w:cs="Calibri"/>
      <w:lang w:eastAsia="zh-CN"/>
    </w:rPr>
  </w:style>
  <w:style w:type="table" w:styleId="697">
    <w:name w:val="Table Grid"/>
    <w:basedOn w:val="6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Сетка таблицы2"/>
    <w:basedOn w:val="693"/>
    <w:next w:val="697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>
    <w:name w:val="Normal (Web)"/>
    <w:basedOn w:val="689"/>
    <w:link w:val="706"/>
    <w:unhideWhenUsed/>
    <w:qFormat/>
    <w:rPr>
      <w:rFonts w:ascii="Times New Roman" w:hAnsi="Times New Roman" w:cs="Times New Roman"/>
      <w:sz w:val="24"/>
      <w:szCs w:val="24"/>
    </w:rPr>
  </w:style>
  <w:style w:type="table" w:styleId="700" w:customStyle="1">
    <w:name w:val="Сетка таблицы1"/>
    <w:basedOn w:val="693"/>
    <w:next w:val="697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1">
    <w:name w:val="Footer"/>
    <w:basedOn w:val="689"/>
    <w:link w:val="702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2" w:customStyle="1">
    <w:name w:val="Нижній колонтитул Знак"/>
    <w:basedOn w:val="692"/>
    <w:link w:val="701"/>
    <w:uiPriority w:val="99"/>
    <w:rPr>
      <w:rFonts w:ascii="Calibri" w:hAnsi="Calibri" w:eastAsia="Calibri" w:cs="Calibri"/>
      <w:lang w:eastAsia="zh-CN"/>
    </w:rPr>
  </w:style>
  <w:style w:type="paragraph" w:styleId="703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4">
    <w:name w:val="Hyperlink"/>
    <w:basedOn w:val="692"/>
    <w:uiPriority w:val="99"/>
    <w:unhideWhenUsed/>
    <w:rPr>
      <w:color w:val="0563c1" w:themeColor="hyperlink"/>
      <w:u w:val="single"/>
    </w:rPr>
  </w:style>
  <w:style w:type="character" w:styleId="705" w:customStyle="1">
    <w:name w:val="xfm_93972720"/>
    <w:basedOn w:val="692"/>
  </w:style>
  <w:style w:type="character" w:styleId="706" w:customStyle="1">
    <w:name w:val="Звичайний (веб) Знак"/>
    <w:link w:val="699"/>
    <w:qFormat/>
    <w:rPr>
      <w:rFonts w:ascii="Times New Roman" w:hAnsi="Times New Roman" w:cs="Times New Roman"/>
      <w:sz w:val="24"/>
      <w:szCs w:val="24"/>
      <w:lang w:val="uk-UA"/>
    </w:rPr>
  </w:style>
  <w:style w:type="paragraph" w:styleId="707">
    <w:name w:val="Body Text 2"/>
    <w:basedOn w:val="689"/>
    <w:link w:val="708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8" w:customStyle="1">
    <w:name w:val="Основний текст 2 Знак"/>
    <w:basedOn w:val="692"/>
    <w:link w:val="70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0" w:customStyle="1">
    <w:name w:val="Заголовок 2 Знак"/>
    <w:basedOn w:val="692"/>
    <w:link w:val="691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1">
    <w:name w:val="No Spacing"/>
    <w:link w:val="712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2" w:customStyle="1">
    <w:name w:val="Без інтервалів Знак"/>
    <w:basedOn w:val="692"/>
    <w:link w:val="711"/>
    <w:uiPriority w:val="1"/>
    <w:rPr>
      <w:rFonts w:ascii="Calibri" w:hAnsi="Calibri" w:eastAsia="Calibri" w:cs="Times New Roman"/>
      <w:lang w:val="uk-UA"/>
    </w:rPr>
  </w:style>
  <w:style w:type="character" w:styleId="713" w:customStyle="1">
    <w:name w:val="Другое_"/>
    <w:basedOn w:val="692"/>
    <w:link w:val="714"/>
    <w:rPr>
      <w:rFonts w:ascii="Calibri" w:hAnsi="Calibri" w:eastAsia="Calibri" w:cs="Calibri"/>
      <w:sz w:val="20"/>
      <w:szCs w:val="20"/>
    </w:rPr>
  </w:style>
  <w:style w:type="paragraph" w:styleId="714" w:customStyle="1">
    <w:name w:val="Другое"/>
    <w:basedOn w:val="689"/>
    <w:link w:val="713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5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6" w:customStyle="1">
    <w:name w:val="Основной текст (2)_"/>
    <w:basedOn w:val="692"/>
    <w:link w:val="717"/>
    <w:rPr>
      <w:rFonts w:eastAsia="Times New Roman" w:cs="Times New Roman"/>
      <w:shd w:val="clear" w:color="auto" w:fill="ffffff"/>
    </w:rPr>
  </w:style>
  <w:style w:type="paragraph" w:styleId="717" w:customStyle="1">
    <w:name w:val="Основной текст (2)"/>
    <w:basedOn w:val="689"/>
    <w:link w:val="716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8" w:customStyle="1">
    <w:name w:val="Текст у виносці Знак"/>
    <w:basedOn w:val="692"/>
    <w:link w:val="71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9">
    <w:name w:val="Balloon Text"/>
    <w:basedOn w:val="689"/>
    <w:link w:val="718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20" w:customStyle="1">
    <w:name w:val="Текст у виносці Знак1"/>
    <w:basedOn w:val="692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21" w:customStyle="1">
    <w:name w:val="T23"/>
    <w:rPr>
      <w:rFonts w:hint="default" w:ascii="Times New Roman" w:hAnsi="Times New Roman" w:eastAsia="Times New Roman1" w:cs="Times New Roman"/>
    </w:rPr>
  </w:style>
  <w:style w:type="character" w:styleId="722" w:customStyle="1">
    <w:name w:val="Заголовок 1 Знак"/>
    <w:basedOn w:val="692"/>
    <w:link w:val="69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  <w:style w:type="character" w:styleId="723" w:customStyle="1">
    <w:name w:val="markedcontent"/>
    <w:basedOn w:val="69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image" Target="media/image2.jpg"/><Relationship Id="rId13" Type="http://schemas.openxmlformats.org/officeDocument/2006/relationships/image" Target="media/image3.jpg"/><Relationship Id="rId14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142</cp:revision>
  <dcterms:created xsi:type="dcterms:W3CDTF">2022-11-01T12:47:00Z</dcterms:created>
  <dcterms:modified xsi:type="dcterms:W3CDTF">2023-09-14T07:21:30Z</dcterms:modified>
</cp:coreProperties>
</file>