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4FA576E2"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3069C" w:rsidRPr="0053069C">
        <w:rPr>
          <w:b w:val="0"/>
          <w:bCs w:val="0"/>
          <w:spacing w:val="1"/>
          <w:sz w:val="24"/>
          <w:szCs w:val="24"/>
        </w:rPr>
        <w:t>Закупівля послуг з монтажу комплексу автоматичної фото- та відеофіксації правопорушень у сфері забезпечення безпеки дорожнього руху «EXPERT-FS» (серійний номер Е75053633) за кодом ДК 021:2015 - 45310000-3 Електромонтажні роботи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64F120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E938A6">
        <w:rPr>
          <w:rFonts w:ascii="Times New Roman" w:hAnsi="Times New Roman" w:cs="Times New Roman"/>
          <w:sz w:val="24"/>
          <w:szCs w:val="24"/>
        </w:rPr>
        <w:t>2</w:t>
      </w:r>
      <w:r w:rsidR="001944C8">
        <w:rPr>
          <w:rFonts w:ascii="Times New Roman" w:hAnsi="Times New Roman" w:cs="Times New Roman"/>
          <w:sz w:val="24"/>
          <w:szCs w:val="24"/>
        </w:rPr>
        <w:t>-</w:t>
      </w:r>
      <w:r w:rsidR="00E938A6">
        <w:rPr>
          <w:rFonts w:ascii="Times New Roman" w:hAnsi="Times New Roman" w:cs="Times New Roman"/>
          <w:sz w:val="24"/>
          <w:szCs w:val="24"/>
        </w:rPr>
        <w:t>20</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53069C">
        <w:rPr>
          <w:rFonts w:ascii="Times New Roman" w:hAnsi="Times New Roman" w:cs="Times New Roman"/>
          <w:sz w:val="24"/>
          <w:szCs w:val="24"/>
        </w:rPr>
        <w:t>3249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67C31BB" w:rsidR="0086417F" w:rsidRPr="00E938A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53069C" w:rsidRPr="0053069C">
        <w:rPr>
          <w:b w:val="0"/>
          <w:bCs w:val="0"/>
          <w:spacing w:val="1"/>
          <w:sz w:val="24"/>
          <w:szCs w:val="24"/>
        </w:rPr>
        <w:t>Закупівля послуг з монтажу комплексу автоматичної фото- та відеофіксації правопорушень у сфері забезпечення безпеки дорожнього руху «EXPERT-FS» (серійний номер Е75053633) за кодом ДК 021:2015 - 45310000-3 Електромонтажні роботи</w:t>
      </w:r>
    </w:p>
    <w:p w14:paraId="3F2D545D" w14:textId="77777777" w:rsidR="00883D7E" w:rsidRDefault="00883D7E" w:rsidP="00E938A6">
      <w:pPr>
        <w:spacing w:after="0" w:line="240" w:lineRule="auto"/>
        <w:ind w:firstLine="357"/>
        <w:jc w:val="center"/>
        <w:rPr>
          <w:rFonts w:ascii="Times New Roman" w:hAnsi="Times New Roman" w:cs="Times New Roman"/>
          <w:b/>
          <w:color w:val="000000"/>
          <w:sz w:val="24"/>
          <w:szCs w:val="24"/>
        </w:rPr>
      </w:pPr>
    </w:p>
    <w:p w14:paraId="3E63FA16" w14:textId="77777777" w:rsidR="00883D7E" w:rsidRPr="0053069C" w:rsidRDefault="00883D7E" w:rsidP="0053069C">
      <w:pPr>
        <w:suppressAutoHyphens/>
        <w:spacing w:after="0" w:line="240" w:lineRule="auto"/>
        <w:ind w:firstLine="357"/>
        <w:jc w:val="center"/>
        <w:rPr>
          <w:rFonts w:ascii="Times New Roman" w:eastAsia="Aptos" w:hAnsi="Times New Roman" w:cs="Times New Roman"/>
          <w:b/>
          <w:color w:val="000000"/>
          <w:sz w:val="24"/>
          <w:szCs w:val="24"/>
        </w:rPr>
      </w:pPr>
      <w:r w:rsidRPr="0053069C">
        <w:rPr>
          <w:rFonts w:ascii="Times New Roman" w:eastAsia="Aptos" w:hAnsi="Times New Roman" w:cs="Times New Roman"/>
          <w:b/>
          <w:color w:val="000000"/>
          <w:sz w:val="24"/>
          <w:szCs w:val="24"/>
        </w:rPr>
        <w:t>ТЕХНІЧНІ ВИМОГИ</w:t>
      </w:r>
    </w:p>
    <w:p w14:paraId="327F21E0" w14:textId="77777777" w:rsidR="0053069C" w:rsidRPr="0053069C" w:rsidRDefault="0053069C" w:rsidP="0053069C">
      <w:pPr>
        <w:suppressAutoHyphens/>
        <w:spacing w:line="240" w:lineRule="auto"/>
        <w:ind w:firstLine="567"/>
        <w:jc w:val="both"/>
        <w:rPr>
          <w:rFonts w:ascii="Times New Roman" w:hAnsi="Times New Roman"/>
          <w:b/>
          <w:i/>
          <w:color w:val="000000"/>
          <w:sz w:val="24"/>
          <w:szCs w:val="24"/>
        </w:rPr>
      </w:pPr>
    </w:p>
    <w:tbl>
      <w:tblPr>
        <w:tblStyle w:val="51"/>
        <w:tblW w:w="9634" w:type="dxa"/>
        <w:tblLayout w:type="fixed"/>
        <w:tblLook w:val="04A0" w:firstRow="1" w:lastRow="0" w:firstColumn="1" w:lastColumn="0" w:noHBand="0" w:noVBand="1"/>
      </w:tblPr>
      <w:tblGrid>
        <w:gridCol w:w="560"/>
        <w:gridCol w:w="5673"/>
        <w:gridCol w:w="1700"/>
        <w:gridCol w:w="1701"/>
      </w:tblGrid>
      <w:tr w:rsidR="0053069C" w:rsidRPr="0053069C" w14:paraId="4B6D9457" w14:textId="77777777" w:rsidTr="00EB74E5">
        <w:trPr>
          <w:trHeight w:val="652"/>
        </w:trPr>
        <w:tc>
          <w:tcPr>
            <w:tcW w:w="560" w:type="dxa"/>
            <w:vAlign w:val="center"/>
          </w:tcPr>
          <w:p w14:paraId="52435721" w14:textId="77777777" w:rsidR="0053069C" w:rsidRPr="0053069C" w:rsidRDefault="0053069C" w:rsidP="0053069C">
            <w:pPr>
              <w:tabs>
                <w:tab w:val="center" w:pos="4819"/>
                <w:tab w:val="right" w:pos="9639"/>
              </w:tabs>
              <w:jc w:val="center"/>
              <w:rPr>
                <w:rFonts w:ascii="Times New Roman" w:hAnsi="Times New Roman"/>
                <w:b/>
                <w:bCs/>
                <w:color w:val="000000" w:themeColor="text1"/>
              </w:rPr>
            </w:pPr>
            <w:r w:rsidRPr="0053069C">
              <w:rPr>
                <w:rFonts w:ascii="Times New Roman" w:hAnsi="Times New Roman"/>
                <w:b/>
                <w:bCs/>
                <w:color w:val="000000" w:themeColor="text1"/>
              </w:rPr>
              <w:t>№ з/п</w:t>
            </w:r>
          </w:p>
        </w:tc>
        <w:tc>
          <w:tcPr>
            <w:tcW w:w="5672" w:type="dxa"/>
            <w:vAlign w:val="center"/>
          </w:tcPr>
          <w:p w14:paraId="7C727523" w14:textId="77777777" w:rsidR="0053069C" w:rsidRPr="0053069C" w:rsidRDefault="0053069C" w:rsidP="0053069C">
            <w:pPr>
              <w:tabs>
                <w:tab w:val="center" w:pos="4819"/>
                <w:tab w:val="right" w:pos="9639"/>
              </w:tabs>
              <w:jc w:val="center"/>
              <w:rPr>
                <w:rFonts w:ascii="Times New Roman" w:hAnsi="Times New Roman"/>
                <w:b/>
                <w:bCs/>
                <w:color w:val="000000" w:themeColor="text1"/>
              </w:rPr>
            </w:pPr>
            <w:r w:rsidRPr="0053069C">
              <w:rPr>
                <w:rFonts w:ascii="Times New Roman" w:hAnsi="Times New Roman"/>
                <w:b/>
                <w:bCs/>
                <w:color w:val="000000" w:themeColor="text1"/>
              </w:rPr>
              <w:t>Назва послуг</w:t>
            </w:r>
          </w:p>
        </w:tc>
        <w:tc>
          <w:tcPr>
            <w:tcW w:w="1700" w:type="dxa"/>
            <w:vAlign w:val="center"/>
          </w:tcPr>
          <w:p w14:paraId="4E04ABFC" w14:textId="77777777" w:rsidR="0053069C" w:rsidRPr="0053069C" w:rsidRDefault="0053069C" w:rsidP="0053069C">
            <w:pPr>
              <w:tabs>
                <w:tab w:val="center" w:pos="4819"/>
                <w:tab w:val="right" w:pos="9639"/>
              </w:tabs>
              <w:jc w:val="center"/>
              <w:rPr>
                <w:rFonts w:ascii="Times New Roman" w:hAnsi="Times New Roman"/>
                <w:b/>
                <w:bCs/>
                <w:color w:val="000000" w:themeColor="text1"/>
              </w:rPr>
            </w:pPr>
            <w:r w:rsidRPr="0053069C">
              <w:rPr>
                <w:rFonts w:ascii="Times New Roman" w:hAnsi="Times New Roman"/>
                <w:b/>
                <w:bCs/>
                <w:color w:val="000000" w:themeColor="text1"/>
              </w:rPr>
              <w:t>Одиниця виміру</w:t>
            </w:r>
          </w:p>
        </w:tc>
        <w:tc>
          <w:tcPr>
            <w:tcW w:w="1701" w:type="dxa"/>
            <w:vAlign w:val="center"/>
          </w:tcPr>
          <w:p w14:paraId="2446CE85" w14:textId="77777777" w:rsidR="0053069C" w:rsidRPr="0053069C" w:rsidRDefault="0053069C" w:rsidP="0053069C">
            <w:pPr>
              <w:tabs>
                <w:tab w:val="center" w:pos="4819"/>
                <w:tab w:val="right" w:pos="9639"/>
              </w:tabs>
              <w:jc w:val="center"/>
              <w:rPr>
                <w:rFonts w:ascii="Times New Roman" w:hAnsi="Times New Roman"/>
                <w:b/>
                <w:bCs/>
                <w:color w:val="000000" w:themeColor="text1"/>
              </w:rPr>
            </w:pPr>
            <w:r w:rsidRPr="0053069C">
              <w:rPr>
                <w:rFonts w:ascii="Times New Roman" w:hAnsi="Times New Roman"/>
                <w:b/>
                <w:bCs/>
                <w:color w:val="000000" w:themeColor="text1"/>
              </w:rPr>
              <w:t>Кількість</w:t>
            </w:r>
          </w:p>
        </w:tc>
      </w:tr>
      <w:tr w:rsidR="0053069C" w:rsidRPr="0053069C" w14:paraId="4CD8834B" w14:textId="77777777" w:rsidTr="00EB74E5">
        <w:tc>
          <w:tcPr>
            <w:tcW w:w="560" w:type="dxa"/>
            <w:vAlign w:val="center"/>
          </w:tcPr>
          <w:p w14:paraId="45E0A725" w14:textId="77777777" w:rsidR="0053069C" w:rsidRPr="0053069C" w:rsidRDefault="0053069C" w:rsidP="0053069C">
            <w:pPr>
              <w:tabs>
                <w:tab w:val="center" w:pos="4819"/>
                <w:tab w:val="right" w:pos="9639"/>
              </w:tabs>
              <w:jc w:val="center"/>
              <w:rPr>
                <w:rFonts w:ascii="Times New Roman" w:hAnsi="Times New Roman"/>
                <w:color w:val="000000" w:themeColor="text1"/>
              </w:rPr>
            </w:pPr>
            <w:r w:rsidRPr="0053069C">
              <w:rPr>
                <w:rFonts w:ascii="Times New Roman" w:hAnsi="Times New Roman"/>
                <w:color w:val="000000" w:themeColor="text1"/>
              </w:rPr>
              <w:t>1</w:t>
            </w:r>
          </w:p>
        </w:tc>
        <w:tc>
          <w:tcPr>
            <w:tcW w:w="5672" w:type="dxa"/>
            <w:vAlign w:val="center"/>
          </w:tcPr>
          <w:p w14:paraId="5679129A" w14:textId="77777777" w:rsidR="0053069C" w:rsidRPr="0053069C" w:rsidRDefault="0053069C" w:rsidP="0053069C">
            <w:pPr>
              <w:rPr>
                <w:rFonts w:ascii="Times New Roman" w:hAnsi="Times New Roman"/>
                <w:color w:val="000000" w:themeColor="text1"/>
              </w:rPr>
            </w:pPr>
            <w:r w:rsidRPr="0053069C">
              <w:rPr>
                <w:rFonts w:ascii="Times New Roman" w:eastAsia="Cambria" w:hAnsi="Times New Roman"/>
              </w:rPr>
              <w:t>Монтаж комплексу автоматичної фото- та відеофіксації правопорушень у сфері забезпечення безпеки дорожнього руху «EXPERT-FS», серійний номер Е75053633</w:t>
            </w:r>
          </w:p>
        </w:tc>
        <w:tc>
          <w:tcPr>
            <w:tcW w:w="1700" w:type="dxa"/>
            <w:vAlign w:val="center"/>
          </w:tcPr>
          <w:p w14:paraId="7DCB87D1" w14:textId="77777777" w:rsidR="0053069C" w:rsidRPr="0053069C" w:rsidRDefault="0053069C" w:rsidP="0053069C">
            <w:pPr>
              <w:tabs>
                <w:tab w:val="center" w:pos="4819"/>
                <w:tab w:val="right" w:pos="9639"/>
              </w:tabs>
              <w:jc w:val="center"/>
              <w:rPr>
                <w:rFonts w:ascii="Times New Roman" w:hAnsi="Times New Roman"/>
                <w:color w:val="000000" w:themeColor="text1"/>
              </w:rPr>
            </w:pPr>
            <w:r w:rsidRPr="0053069C">
              <w:rPr>
                <w:rFonts w:ascii="Times New Roman" w:hAnsi="Times New Roman"/>
                <w:color w:val="000000" w:themeColor="text1"/>
              </w:rPr>
              <w:t>послуга</w:t>
            </w:r>
          </w:p>
        </w:tc>
        <w:tc>
          <w:tcPr>
            <w:tcW w:w="1701" w:type="dxa"/>
            <w:vAlign w:val="center"/>
          </w:tcPr>
          <w:p w14:paraId="04265005" w14:textId="77777777" w:rsidR="0053069C" w:rsidRPr="0053069C" w:rsidRDefault="0053069C" w:rsidP="0053069C">
            <w:pPr>
              <w:tabs>
                <w:tab w:val="center" w:pos="4819"/>
                <w:tab w:val="right" w:pos="9639"/>
              </w:tabs>
              <w:jc w:val="center"/>
              <w:rPr>
                <w:rFonts w:ascii="Times New Roman" w:hAnsi="Times New Roman"/>
                <w:color w:val="000000" w:themeColor="text1"/>
              </w:rPr>
            </w:pPr>
            <w:r w:rsidRPr="0053069C">
              <w:rPr>
                <w:rFonts w:ascii="Times New Roman" w:hAnsi="Times New Roman"/>
                <w:color w:val="000000" w:themeColor="text1"/>
              </w:rPr>
              <w:t>1</w:t>
            </w:r>
          </w:p>
        </w:tc>
      </w:tr>
    </w:tbl>
    <w:p w14:paraId="2931A5EB" w14:textId="77777777" w:rsidR="0053069C" w:rsidRPr="0053069C" w:rsidRDefault="0053069C" w:rsidP="0053069C">
      <w:pPr>
        <w:suppressAutoHyphens/>
        <w:spacing w:line="240" w:lineRule="auto"/>
        <w:ind w:firstLine="567"/>
        <w:jc w:val="both"/>
        <w:rPr>
          <w:rFonts w:ascii="Times New Roman" w:hAnsi="Times New Roman"/>
          <w:b/>
          <w:i/>
          <w:color w:val="000000"/>
          <w:sz w:val="24"/>
          <w:szCs w:val="24"/>
        </w:rPr>
      </w:pPr>
    </w:p>
    <w:p w14:paraId="70B701C2" w14:textId="77777777" w:rsidR="0053069C" w:rsidRPr="0053069C" w:rsidRDefault="0053069C" w:rsidP="0053069C">
      <w:pPr>
        <w:tabs>
          <w:tab w:val="left" w:pos="7382"/>
        </w:tabs>
        <w:suppressAutoHyphens/>
        <w:spacing w:line="240" w:lineRule="auto"/>
        <w:ind w:right="141" w:firstLine="567"/>
        <w:jc w:val="center"/>
        <w:rPr>
          <w:rFonts w:ascii="Times New Roman" w:hAnsi="Times New Roman"/>
          <w:b/>
          <w:bCs/>
          <w:color w:val="000000" w:themeColor="text1"/>
          <w:sz w:val="24"/>
          <w:szCs w:val="24"/>
        </w:rPr>
      </w:pPr>
      <w:r w:rsidRPr="0053069C">
        <w:rPr>
          <w:rFonts w:ascii="Times New Roman" w:hAnsi="Times New Roman"/>
          <w:b/>
          <w:bCs/>
          <w:color w:val="000000" w:themeColor="text1"/>
          <w:sz w:val="24"/>
          <w:szCs w:val="24"/>
        </w:rPr>
        <w:t>Вимоги до якості послуг:</w:t>
      </w:r>
    </w:p>
    <w:p w14:paraId="10CAABEE" w14:textId="77777777" w:rsidR="0053069C" w:rsidRPr="0053069C" w:rsidRDefault="0053069C" w:rsidP="0053069C">
      <w:pPr>
        <w:tabs>
          <w:tab w:val="left" w:pos="7382"/>
        </w:tabs>
        <w:suppressAutoHyphens/>
        <w:spacing w:line="240" w:lineRule="auto"/>
        <w:ind w:right="141" w:firstLine="567"/>
        <w:rPr>
          <w:rFonts w:ascii="Times New Roman" w:hAnsi="Times New Roman"/>
          <w:b/>
          <w:bCs/>
          <w:i/>
          <w:iCs/>
          <w:color w:val="000000" w:themeColor="text1"/>
          <w:sz w:val="24"/>
          <w:szCs w:val="24"/>
        </w:rPr>
      </w:pPr>
      <w:r w:rsidRPr="0053069C">
        <w:rPr>
          <w:rFonts w:ascii="Times New Roman" w:hAnsi="Times New Roman"/>
          <w:b/>
          <w:bCs/>
          <w:i/>
          <w:iCs/>
          <w:color w:val="000000" w:themeColor="text1"/>
          <w:sz w:val="24"/>
          <w:szCs w:val="24"/>
        </w:rPr>
        <w:t>Загальна інформація.</w:t>
      </w:r>
    </w:p>
    <w:p w14:paraId="119BCA93"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Послуга передбачає виконання монтажних та інших робіт, необхідних для відновлення роботи комплексу автоматичної фото- та відеофіксації правопорушень у сфері забезпечення безпеки дорожнього руху «EXPERT-FS», серійний номер Е75053633.</w:t>
      </w:r>
    </w:p>
    <w:p w14:paraId="20B7178F"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Конструкція, принцип роботи та інша інформація про комплекс наведена в формулярі, що додається.</w:t>
      </w:r>
    </w:p>
    <w:p w14:paraId="2B0F9E98"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Вимоги до монтажу, методика налаштування комплексу викладені в інструкції з монтажу та налаштування комплексу, що додається.</w:t>
      </w:r>
    </w:p>
    <w:p w14:paraId="1143F84D"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Монтажні роботи здійснюються в 3 етапи.</w:t>
      </w:r>
    </w:p>
    <w:p w14:paraId="77995598"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Замовник має право залучити незалежну експертизу для перевірки якості виконаних робіт.</w:t>
      </w:r>
    </w:p>
    <w:p w14:paraId="5075AE31"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b/>
          <w:bCs/>
          <w:color w:val="000000" w:themeColor="text1"/>
          <w:sz w:val="24"/>
          <w:szCs w:val="24"/>
        </w:rPr>
      </w:pPr>
    </w:p>
    <w:p w14:paraId="4DA85EF3"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b/>
          <w:bCs/>
          <w:i/>
          <w:iCs/>
          <w:color w:val="000000" w:themeColor="text1"/>
          <w:sz w:val="24"/>
          <w:szCs w:val="24"/>
        </w:rPr>
      </w:pPr>
      <w:r w:rsidRPr="0053069C">
        <w:rPr>
          <w:rFonts w:ascii="Times New Roman" w:hAnsi="Times New Roman"/>
          <w:b/>
          <w:bCs/>
          <w:i/>
          <w:iCs/>
          <w:color w:val="000000" w:themeColor="text1"/>
          <w:sz w:val="24"/>
          <w:szCs w:val="24"/>
        </w:rPr>
        <w:lastRenderedPageBreak/>
        <w:t>Етапи виконання робіт:</w:t>
      </w:r>
    </w:p>
    <w:p w14:paraId="33060553"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i/>
          <w:iCs/>
          <w:color w:val="000000" w:themeColor="text1"/>
          <w:sz w:val="24"/>
          <w:szCs w:val="24"/>
        </w:rPr>
      </w:pPr>
      <w:r w:rsidRPr="0053069C">
        <w:rPr>
          <w:rFonts w:ascii="Times New Roman" w:hAnsi="Times New Roman"/>
          <w:i/>
          <w:iCs/>
          <w:color w:val="000000" w:themeColor="text1"/>
          <w:sz w:val="24"/>
          <w:szCs w:val="24"/>
        </w:rPr>
        <w:t>1 етап. Встановлення, налаштування та тестування комплексу.</w:t>
      </w:r>
    </w:p>
    <w:p w14:paraId="09070A49"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Монтажні роботи, налаштування та тестування комплексу здійснюються протягом 2 тижнів після отримання від замовника повідомлення про завершення підготовки інфраструктури для встановлення комплексу.</w:t>
      </w:r>
    </w:p>
    <w:p w14:paraId="6E2250C8"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Замовник здійснює видачу комплексу виконавцю (для подальшого проведення монтажних робіт) за адресою: вул. Волинська, 26, м. Київ.  Факт передачі комплексу фіксується підписанням сторонами відповідного акту передачі. З моменту підписання такого акту, виконавець несе повну відповідальність за цілісність, та працездатність комплексу під час його збереження та подальшого транспортування до безпосереднього місця встановлення комплексу.</w:t>
      </w:r>
    </w:p>
    <w:p w14:paraId="358206B0"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Монтаж та налаштування комплексу здійснюється виконавцем з дотриманням вимог експлуатаційної документації, відповідно до технічного рішення.</w:t>
      </w:r>
    </w:p>
    <w:p w14:paraId="5847557E"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Виконавець керуючись протоколом взаємодії приладів контролю з програмним забезпеченням системи фіксації адміністративних правопорушень у сфері забезпечення безпеки дорожнього руху в автоматичному режимі (СФАП) у співпраці з провайдером, адміністратором та розробником СФАП, здійснює підключення комплексів до тестового середовища СФАП.</w:t>
      </w:r>
    </w:p>
    <w:p w14:paraId="43A7AE85"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 xml:space="preserve">За використання стільникового зв’язку виконавець отримує повний доступ до локальної мережі (VPN), доступ до компонентів та налаштувань комплексу. </w:t>
      </w:r>
    </w:p>
    <w:p w14:paraId="12DF05CD"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Виконавець на постійній основі збирає метрики про роботу та стан комплексу, виявляє недоліки в роботі, збирає дані для метрологічних досліджень.</w:t>
      </w:r>
    </w:p>
    <w:p w14:paraId="10EE4904"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Після виконання монтажних робіт з встановлення комплексу, підключення його до тестового середовища, виконавець здійснює цілодобовий моніторинг фізичного стану комплексу з інформуванням замовника по всіх значних інцидентах (зникнення живлення, зв’язку та несанкціонованого доступу до комплексу) та до фінального моменту прийняття комплексу в роботу, який був встановлений на постійній локації.</w:t>
      </w:r>
    </w:p>
    <w:p w14:paraId="2073D321"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Замовник проводить тестування комплексу, у разі виникнення зауважень чи побажань, виконавець має змінити налаштування комплексу.</w:t>
      </w:r>
    </w:p>
    <w:p w14:paraId="16776711"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Після успішного завершення тестування комплекс відключається від тестового середовища, виконавець здійснює налаштування передачі інформаційних файлів до основного середовища СФАП.</w:t>
      </w:r>
    </w:p>
    <w:p w14:paraId="7DB9B4FD"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p>
    <w:p w14:paraId="5861487E"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i/>
          <w:iCs/>
          <w:color w:val="000000" w:themeColor="text1"/>
          <w:sz w:val="24"/>
          <w:szCs w:val="24"/>
        </w:rPr>
      </w:pPr>
      <w:r w:rsidRPr="0053069C">
        <w:rPr>
          <w:rFonts w:ascii="Times New Roman" w:hAnsi="Times New Roman"/>
          <w:i/>
          <w:iCs/>
          <w:color w:val="000000" w:themeColor="text1"/>
          <w:sz w:val="24"/>
          <w:szCs w:val="24"/>
        </w:rPr>
        <w:t>2 етап. Порядок приймання послуг.</w:t>
      </w:r>
    </w:p>
    <w:p w14:paraId="2726E9E9"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За результатом виконання робіт, виконавець надає замовнику:</w:t>
      </w:r>
    </w:p>
    <w:p w14:paraId="1AE844D9"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акт наданих послуг.</w:t>
      </w:r>
    </w:p>
    <w:p w14:paraId="5BA5EAF5"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p>
    <w:p w14:paraId="0733A6B4"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i/>
          <w:iCs/>
          <w:color w:val="000000" w:themeColor="text1"/>
          <w:sz w:val="24"/>
          <w:szCs w:val="24"/>
        </w:rPr>
        <w:t>3 етап. Усунення збоїв у роботі комплексу</w:t>
      </w:r>
      <w:r w:rsidRPr="0053069C">
        <w:rPr>
          <w:rFonts w:ascii="Times New Roman" w:hAnsi="Times New Roman"/>
          <w:color w:val="000000" w:themeColor="text1"/>
          <w:sz w:val="24"/>
          <w:szCs w:val="24"/>
        </w:rPr>
        <w:t>.</w:t>
      </w:r>
    </w:p>
    <w:p w14:paraId="638EF7DE"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themeColor="text1"/>
          <w:sz w:val="24"/>
          <w:szCs w:val="24"/>
        </w:rPr>
      </w:pPr>
      <w:r w:rsidRPr="0053069C">
        <w:rPr>
          <w:rFonts w:ascii="Times New Roman" w:hAnsi="Times New Roman"/>
          <w:color w:val="000000" w:themeColor="text1"/>
          <w:sz w:val="24"/>
          <w:szCs w:val="24"/>
        </w:rPr>
        <w:t>У разі виникнення збоїв в роботі комплексу, протягом 1 місяця після підписання акту наданих послуг, виконавець має привести комплекс в штатний режим роботи здійснивши виїзд на місце встановлення (за необхідності).</w:t>
      </w:r>
    </w:p>
    <w:p w14:paraId="7EC7ED7D"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b/>
          <w:bCs/>
          <w:color w:val="000000" w:themeColor="text1"/>
          <w:sz w:val="24"/>
          <w:szCs w:val="24"/>
        </w:rPr>
      </w:pPr>
    </w:p>
    <w:p w14:paraId="56EEDF8D"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b/>
          <w:bCs/>
          <w:color w:val="000000" w:themeColor="text1"/>
          <w:sz w:val="24"/>
          <w:szCs w:val="24"/>
        </w:rPr>
      </w:pPr>
    </w:p>
    <w:p w14:paraId="250309E7"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sz w:val="24"/>
          <w:szCs w:val="24"/>
          <w:lang w:eastAsia="uk-UA"/>
        </w:rPr>
      </w:pPr>
      <w:r w:rsidRPr="0053069C">
        <w:rPr>
          <w:rFonts w:ascii="Times New Roman" w:hAnsi="Times New Roman"/>
          <w:color w:val="000000"/>
          <w:sz w:val="24"/>
          <w:szCs w:val="24"/>
          <w:lang w:eastAsia="uk-UA"/>
        </w:rPr>
        <w:lastRenderedPageBreak/>
        <w:t>Додатки:</w:t>
      </w:r>
    </w:p>
    <w:p w14:paraId="009FA90E" w14:textId="77777777" w:rsidR="0053069C" w:rsidRPr="0053069C" w:rsidRDefault="0053069C" w:rsidP="0053069C">
      <w:pPr>
        <w:tabs>
          <w:tab w:val="left" w:pos="7382"/>
        </w:tabs>
        <w:suppressAutoHyphens/>
        <w:spacing w:line="240" w:lineRule="auto"/>
        <w:ind w:right="141" w:firstLine="567"/>
        <w:jc w:val="both"/>
        <w:rPr>
          <w:rFonts w:ascii="Times New Roman" w:hAnsi="Times New Roman"/>
          <w:color w:val="000000"/>
          <w:sz w:val="24"/>
          <w:szCs w:val="24"/>
          <w:lang w:eastAsia="uk-UA"/>
        </w:rPr>
      </w:pPr>
      <w:r w:rsidRPr="0053069C">
        <w:rPr>
          <w:rFonts w:ascii="Times New Roman" w:hAnsi="Times New Roman"/>
          <w:color w:val="000000"/>
          <w:sz w:val="24"/>
          <w:szCs w:val="24"/>
          <w:lang w:eastAsia="uk-UA"/>
        </w:rPr>
        <w:t>1. Додаток 2.1 - Формуляр. Інструкція з монтажу та налаштування комплексу.</w:t>
      </w:r>
    </w:p>
    <w:p w14:paraId="0825322A" w14:textId="77777777" w:rsidR="0053069C" w:rsidRPr="0053069C" w:rsidRDefault="0053069C" w:rsidP="0053069C">
      <w:pPr>
        <w:suppressAutoHyphens/>
        <w:spacing w:line="240" w:lineRule="auto"/>
        <w:ind w:right="141"/>
        <w:rPr>
          <w:rFonts w:ascii="Times New Roman" w:eastAsia="Calibri" w:hAnsi="Times New Roman" w:cs="Calibri"/>
          <w:i/>
          <w:iCs/>
          <w:spacing w:val="1"/>
          <w:sz w:val="24"/>
          <w:szCs w:val="24"/>
          <w:lang w:eastAsia="uk-UA"/>
        </w:rPr>
      </w:pPr>
      <w:r w:rsidRPr="0053069C">
        <w:rPr>
          <w:rFonts w:ascii="Times New Roman" w:eastAsia="Calibri" w:hAnsi="Times New Roman" w:cs="Calibri"/>
          <w:i/>
          <w:iCs/>
          <w:spacing w:val="1"/>
          <w:sz w:val="24"/>
          <w:szCs w:val="24"/>
          <w:lang w:eastAsia="uk-UA"/>
        </w:rPr>
        <w:t>* Додаються окремими файлами у складі тендерної документації.</w:t>
      </w:r>
    </w:p>
    <w:p w14:paraId="160231F4" w14:textId="77777777" w:rsidR="0053069C" w:rsidRPr="0053069C" w:rsidRDefault="0053069C" w:rsidP="0053069C">
      <w:pPr>
        <w:tabs>
          <w:tab w:val="left" w:pos="7382"/>
        </w:tabs>
        <w:suppressAutoHyphens/>
        <w:spacing w:line="240" w:lineRule="auto"/>
        <w:ind w:right="141" w:firstLine="426"/>
        <w:jc w:val="both"/>
        <w:rPr>
          <w:rFonts w:ascii="Times New Roman" w:hAnsi="Times New Roman"/>
          <w:i/>
          <w:iCs/>
          <w:color w:val="000000"/>
          <w:sz w:val="24"/>
          <w:szCs w:val="24"/>
          <w:lang w:eastAsia="uk-UA"/>
        </w:rPr>
      </w:pPr>
    </w:p>
    <w:p w14:paraId="60C5C174" w14:textId="6D432190" w:rsidR="0086417F" w:rsidRPr="0053069C" w:rsidRDefault="0053069C" w:rsidP="0053069C">
      <w:pPr>
        <w:widowControl w:val="0"/>
        <w:spacing w:after="0" w:line="240" w:lineRule="auto"/>
        <w:ind w:right="-1"/>
        <w:jc w:val="both"/>
        <w:rPr>
          <w:rFonts w:ascii="Times New Roman" w:hAnsi="Times New Roman" w:cs="Times New Roman"/>
          <w:sz w:val="24"/>
          <w:szCs w:val="24"/>
        </w:rPr>
      </w:pPr>
      <w:r w:rsidRPr="0053069C">
        <w:rPr>
          <w:rFonts w:ascii="Times New Roman" w:hAnsi="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33ABCF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3069C">
        <w:rPr>
          <w:rFonts w:ascii="Times New Roman" w:eastAsia="Times New Roman" w:hAnsi="Times New Roman" w:cs="Times New Roman"/>
          <w:sz w:val="24"/>
          <w:szCs w:val="24"/>
          <w:lang w:eastAsia="ru-RU"/>
        </w:rPr>
        <w:t>40 100,00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53069C">
        <w:rPr>
          <w:rFonts w:ascii="Times New Roman" w:eastAsia="Times New Roman" w:hAnsi="Times New Roman" w:cs="Times New Roman"/>
          <w:sz w:val="24"/>
          <w:szCs w:val="24"/>
          <w:lang w:eastAsia="ru-RU"/>
        </w:rPr>
        <w:t>сорок тисяч сто</w:t>
      </w:r>
      <w:r w:rsidR="00883D7E">
        <w:rPr>
          <w:rFonts w:ascii="Times New Roman" w:eastAsia="Times New Roman" w:hAnsi="Times New Roman" w:cs="Times New Roman"/>
          <w:sz w:val="24"/>
          <w:szCs w:val="24"/>
          <w:lang w:eastAsia="ru-RU"/>
        </w:rPr>
        <w:t xml:space="preserve"> </w:t>
      </w:r>
      <w:r w:rsidR="0053069C">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53069C">
        <w:rPr>
          <w:rFonts w:ascii="Times New Roman" w:eastAsia="Times New Roman" w:hAnsi="Times New Roman" w:cs="Times New Roman"/>
          <w:sz w:val="24"/>
          <w:szCs w:val="24"/>
          <w:lang w:eastAsia="ru-RU"/>
        </w:rPr>
        <w:t>0</w:t>
      </w:r>
      <w:r w:rsidR="00883D7E">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B331" w14:textId="77777777" w:rsidR="00AF1269" w:rsidRDefault="00AF1269">
      <w:pPr>
        <w:spacing w:after="0" w:line="240" w:lineRule="auto"/>
      </w:pPr>
      <w:r>
        <w:separator/>
      </w:r>
    </w:p>
  </w:endnote>
  <w:endnote w:type="continuationSeparator" w:id="0">
    <w:p w14:paraId="4E269312" w14:textId="77777777" w:rsidR="00AF1269" w:rsidRDefault="00AF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927A" w14:textId="77777777" w:rsidR="00AF1269" w:rsidRDefault="00AF1269">
      <w:pPr>
        <w:spacing w:after="0" w:line="240" w:lineRule="auto"/>
      </w:pPr>
      <w:r>
        <w:separator/>
      </w:r>
    </w:p>
  </w:footnote>
  <w:footnote w:type="continuationSeparator" w:id="0">
    <w:p w14:paraId="0668EFA8" w14:textId="77777777" w:rsidR="00AF1269" w:rsidRDefault="00AF1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EA14FDA"/>
    <w:multiLevelType w:val="multilevel"/>
    <w:tmpl w:val="4FD65030"/>
    <w:lvl w:ilvl="0">
      <w:start w:val="1"/>
      <w:numFmt w:val="decimal"/>
      <w:lvlText w:val="%1."/>
      <w:lvlJc w:val="left"/>
      <w:pPr>
        <w:tabs>
          <w:tab w:val="num" w:pos="29"/>
        </w:tabs>
        <w:ind w:left="749" w:hanging="360"/>
      </w:pPr>
    </w:lvl>
    <w:lvl w:ilvl="1">
      <w:start w:val="1"/>
      <w:numFmt w:val="lowerLetter"/>
      <w:lvlText w:val="%2."/>
      <w:lvlJc w:val="left"/>
      <w:pPr>
        <w:tabs>
          <w:tab w:val="num" w:pos="-37"/>
        </w:tabs>
        <w:ind w:left="1403" w:hanging="360"/>
      </w:pPr>
    </w:lvl>
    <w:lvl w:ilvl="2">
      <w:start w:val="1"/>
      <w:numFmt w:val="lowerRoman"/>
      <w:lvlText w:val="%3."/>
      <w:lvlJc w:val="right"/>
      <w:pPr>
        <w:tabs>
          <w:tab w:val="num" w:pos="-37"/>
        </w:tabs>
        <w:ind w:left="2123" w:hanging="180"/>
      </w:pPr>
    </w:lvl>
    <w:lvl w:ilvl="3">
      <w:start w:val="1"/>
      <w:numFmt w:val="decimal"/>
      <w:lvlText w:val="%4."/>
      <w:lvlJc w:val="left"/>
      <w:pPr>
        <w:tabs>
          <w:tab w:val="num" w:pos="-37"/>
        </w:tabs>
        <w:ind w:left="2843" w:hanging="360"/>
      </w:pPr>
    </w:lvl>
    <w:lvl w:ilvl="4">
      <w:start w:val="1"/>
      <w:numFmt w:val="lowerLetter"/>
      <w:lvlText w:val="%5."/>
      <w:lvlJc w:val="left"/>
      <w:pPr>
        <w:tabs>
          <w:tab w:val="num" w:pos="-37"/>
        </w:tabs>
        <w:ind w:left="3563" w:hanging="360"/>
      </w:pPr>
    </w:lvl>
    <w:lvl w:ilvl="5">
      <w:start w:val="1"/>
      <w:numFmt w:val="lowerRoman"/>
      <w:lvlText w:val="%6."/>
      <w:lvlJc w:val="right"/>
      <w:pPr>
        <w:tabs>
          <w:tab w:val="num" w:pos="-37"/>
        </w:tabs>
        <w:ind w:left="4283" w:hanging="180"/>
      </w:pPr>
    </w:lvl>
    <w:lvl w:ilvl="6">
      <w:start w:val="1"/>
      <w:numFmt w:val="decimal"/>
      <w:lvlText w:val="%7."/>
      <w:lvlJc w:val="left"/>
      <w:pPr>
        <w:tabs>
          <w:tab w:val="num" w:pos="-37"/>
        </w:tabs>
        <w:ind w:left="5003" w:hanging="360"/>
      </w:pPr>
    </w:lvl>
    <w:lvl w:ilvl="7">
      <w:start w:val="1"/>
      <w:numFmt w:val="lowerLetter"/>
      <w:lvlText w:val="%8."/>
      <w:lvlJc w:val="left"/>
      <w:pPr>
        <w:tabs>
          <w:tab w:val="num" w:pos="-37"/>
        </w:tabs>
        <w:ind w:left="5723" w:hanging="360"/>
      </w:pPr>
    </w:lvl>
    <w:lvl w:ilvl="8">
      <w:start w:val="1"/>
      <w:numFmt w:val="lowerRoman"/>
      <w:lvlText w:val="%9."/>
      <w:lvlJc w:val="right"/>
      <w:pPr>
        <w:tabs>
          <w:tab w:val="num" w:pos="-37"/>
        </w:tabs>
        <w:ind w:left="6443"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5"/>
  </w:num>
  <w:num w:numId="36" w16cid:durableId="1737513576">
    <w:abstractNumId w:val="26"/>
  </w:num>
  <w:num w:numId="37" w16cid:durableId="121295956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3069C"/>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57982"/>
    <w:rsid w:val="0086417F"/>
    <w:rsid w:val="00883D7E"/>
    <w:rsid w:val="008909A3"/>
    <w:rsid w:val="008C1480"/>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1269"/>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56B49"/>
    <w:rsid w:val="00E62993"/>
    <w:rsid w:val="00E62C9F"/>
    <w:rsid w:val="00E80A48"/>
    <w:rsid w:val="00E938A6"/>
    <w:rsid w:val="00EA5532"/>
    <w:rsid w:val="00EB0A5C"/>
    <w:rsid w:val="00EB757B"/>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qFormat/>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883D7E"/>
    <w:pPr>
      <w:suppressAutoHyphens/>
      <w:spacing w:after="0" w:line="240" w:lineRule="auto"/>
    </w:pPr>
    <w:rPr>
      <w:kern w:val="2"/>
      <w:lang w:val="uk-UA"/>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856</Words>
  <Characters>6140</Characters>
  <Application>Microsoft Office Word</Application>
  <DocSecurity>0</DocSecurity>
  <Lines>157</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2026-02-20T08:59:00Z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