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технічного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обслуговування системи автоматичної пожежної сигналізації, системи газового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пожежогасіння, системи оповіщення та системи управління пожежними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кранами за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адресою</w:t>
      </w:r>
      <w:r>
        <w:rPr>
          <w:b w:val="0"/>
          <w:bCs w:val="0"/>
          <w:sz w:val="24"/>
          <w:szCs w:val="24"/>
          <w:shd w:val="clear" w:color="auto" w:fill="ffffff"/>
        </w:rPr>
        <w:t xml:space="preserve">: м. Київ, вул. Волинська, 26 </w:t>
      </w:r>
      <w:r>
        <w:rPr>
          <w:b w:val="0"/>
          <w:bCs w:val="0"/>
          <w:spacing w:val="1"/>
          <w:sz w:val="24"/>
          <w:szCs w:val="24"/>
        </w:rPr>
        <w:t xml:space="preserve">за код ДК 021:2015 50410000-2 «</w:t>
      </w:r>
      <w:r>
        <w:rPr>
          <w:b w:val="0"/>
          <w:bCs w:val="0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1504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обслуговування системи автоматичної пожежної сигналізації, системи газового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пожежогасіння, системи оповіщення та системи управління пожежними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кранами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м. Київ, вул. Волинська, 26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за код ДК 021:2015 50410000-2 «</w:t>
      </w:r>
      <w:r>
        <w:rPr>
          <w:rFonts w:ascii="Times New Roman" w:hAnsi="Times New Roman" w:cs="Times New Roman"/>
          <w:sz w:val="24"/>
          <w:szCs w:val="24"/>
        </w:rPr>
        <w:t xml:space="preserve">Послуги з ремонту і технічного обслуговування вимірювальних, випробувальних і контрольних приладів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технічного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обслуговування системи автоматичної пожежної сигналізації, системи газового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пожежогасіння, системи оповіщення та системи управління пожежними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кранами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: м. Київ, вул. Володимира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Сікевича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Послуги з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технічного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обслуговування системи автоматичної пожежної сигналізації, системи газового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пожежогасіння, системи оповіщення та системи управління пожежними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кранами за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адресою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вул. Володимира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Сікевича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28, у складі:</w:t>
      </w:r>
      <w:r/>
    </w:p>
    <w:tbl>
      <w:tblPr>
        <w:tblW w:w="978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7086"/>
        <w:gridCol w:w="2126"/>
      </w:tblGrid>
      <w:tr>
        <w:trPr>
          <w:trHeight w:val="69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Зовнішній огляд пристроїв протипожежного устаткування 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Ревізійний огляд блоків живлення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перегородки, тощо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50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Перевірка працездатності: приладів приймально-контрольних пожежних (справність плавких запобіжників), табло, блоків, світлозвукових пристроїв (СЗУ), динаміків, моноблоку, модулів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Перевірка працездатності органів керування (тестування програмного забезпечення)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before="22"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Перевірка лінійної частини шлейфа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Перевірка працездатності променів пожежної сигналізації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працездатності сповіщувачів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спрацьовування приладів приймально-контрольних пожежних при обриві і короткому замиканні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променя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, моноблоку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напруги в променях пожежної сигналізації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виносних сигналів тривоги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контроль робочого положення вимикачів і перемикачів, справності світлової індикації, наявності пломб на приймально-контрольних приладах, моноблоку, справність світлової і звукової індикації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13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Контроль основного і резервного джерела живлення і перевірка автоматичного перемикання живлення з робочого воду на резервний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14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та тестування модулів розширення провідних зон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15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Чищення від пилу димових сповіщувачів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заземлення джерел живлення 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17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Вимір параметрів лінійних проводів сполучних ліній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Вимір параметрів лінійних проводів шлейфа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Контроль спрацювання світлозвукових пристроїв (СЗУ), табло, динаміків у приміщеннях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захищуваного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 об’єкта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6" w:type="dxa"/>
            <w:vAlign w:val="center"/>
            <w:textDirection w:val="lrTb"/>
            <w:noWrap w:val="false"/>
          </w:tcPr>
          <w:p>
            <w:pPr>
              <w:ind w:right="58"/>
              <w:jc w:val="both"/>
              <w:spacing w:after="0" w:line="240" w:lineRule="auto"/>
              <w:tabs>
                <w:tab w:val="left" w:pos="2704" w:leader="none"/>
              </w:tabs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Перевірка надійності з’єднання всіх доступних випадковому доторканню металевих не струмопровідних частин ППКП з його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зажимом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 «заземлення», а також вимірювання значення опору між вказаними частинами та 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зажимом</w:t>
            </w:r>
            <w:r>
              <w:rPr>
                <w:rFonts w:ascii="Times New Roman" w:hAnsi="Times New Roman" w:eastAsia="Calibri" w:cs="Times New Roman"/>
                <w:spacing w:val="-1"/>
                <w:sz w:val="24"/>
                <w:szCs w:val="24"/>
              </w:rPr>
              <w:t xml:space="preserve"> «заземлення» на відповідність вимогам технічних умов на даний прилад  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послуга</w:t>
            </w:r>
            <w:r/>
          </w:p>
        </w:tc>
      </w:tr>
    </w:tbl>
    <w:p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ТЕХНІЧНІ, ЯКІСНІ ТА ІНШІ ВИМОГИ</w:t>
      </w:r>
      <w:r/>
    </w:p>
    <w:p>
      <w:pPr>
        <w:ind w:firstLine="28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Технічне обслуговування виконується згідно п. 2.4. та 11.3 додатку Ж ДБН В.2.5-56:2014 «Системи протипожежного захисту», ДСТУ-Н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CEN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TS</w:t>
      </w:r>
      <w:r>
        <w:rPr>
          <w:rFonts w:ascii="Times New Roman" w:hAnsi="Times New Roman" w:cs="Times New Roman"/>
          <w:sz w:val="24"/>
          <w:szCs w:val="24"/>
        </w:rPr>
        <w:t xml:space="preserve"> 54-14:2021 «Системи пожежної сигналізації та </w:t>
      </w:r>
      <w:r>
        <w:rPr>
          <w:rFonts w:ascii="Times New Roman" w:hAnsi="Times New Roman" w:cs="Times New Roman"/>
          <w:sz w:val="24"/>
          <w:szCs w:val="24"/>
        </w:rPr>
        <w:t xml:space="preserve">оповіщування</w:t>
      </w:r>
      <w:r>
        <w:rPr>
          <w:rFonts w:ascii="Times New Roman" w:hAnsi="Times New Roman" w:cs="Times New Roman"/>
          <w:sz w:val="24"/>
          <w:szCs w:val="24"/>
        </w:rPr>
        <w:t xml:space="preserve">. Частина 14. Настанови щодо побудови, проектування, монтування, введення в експлуатацію, експлуатування і технічного обслуговування».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Усі пристрої </w:t>
      </w:r>
      <w:r>
        <w:rPr>
          <w:rFonts w:ascii="Times New Roman" w:hAnsi="Times New Roman" w:cs="Times New Roman"/>
          <w:sz w:val="24"/>
          <w:szCs w:val="24"/>
        </w:rPr>
        <w:t xml:space="preserve">автоматичної пожежної сигналізації мають бути справними і утримуватися у постійній готовності до виконання роботи. Несправності, які впливають на їх працездатність, повинні усуватися негайно, інші несправності усуваються у передбачені регламентом терміни.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Виконавець веде журнали обліку технічного обслуговування і ремонту (пл</w:t>
      </w:r>
      <w:r>
        <w:rPr>
          <w:rFonts w:ascii="Times New Roman" w:hAnsi="Times New Roman" w:cs="Times New Roman"/>
          <w:sz w:val="24"/>
          <w:szCs w:val="24"/>
        </w:rPr>
        <w:t xml:space="preserve">анового та позапланового). На вимогу Замовника ці журнали Виконавець надає для перевірки Замовнику. Після закінчення терміну дії Договору на послуги з технічного обслуговування пристроїв автоматичної пожежної сигналізації всі журнали передаються Замовнику.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разі потреби проведення ремонту пристроїв автоматичної пожежної сигналізації представниками Замовника та Виконавця складається відповідний Акт.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Технічне обслуговування пристроїв виконується у відповідності до розроблених Виконавцем графіків, згідно вимог ДБН В.2.5-56:2014 «Системи протипожежного захисту».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У разі потреби проведення ремонту пристроїв автоматичної пожежної сигналізації представниками Замовника та Виконавця складається відповідний Акт.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проведенні монтажних робіт/послуг буде утворюватися значна кількість шкідливих чинників на працівників: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вміст різних видів пилу, зокрема пилу цементу, вапна, гіпсу тощо у повітрі робочої зони при виконанні монтажних робіт (свердління);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вміст шкідливих хімічних речовин у повітрі робочої зони (робота з лаками, фарбами, монтажною піною тощо);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вплив шуму (не постійний, імпульсний), інфразвуку під час виконання монтажних робіт (свердління);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важкість праці, що зумовлена такими параметрами: фізичне навантаження (статичне, динамічне),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піднімання та перенесення обладнання, їх монтаж тощо;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незручна, вимушена робоча поза; нахили тулуба; (перебування тривалий час в одному положенні на висоті);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ризик для життя тощо (передбачено виконання робіт на висоті, робота з електроінструментом (ризик завдання електричного та механічного ураження). </w:t>
      </w:r>
      <w:r/>
    </w:p>
    <w:p>
      <w:pPr>
        <w:ind w:firstLine="284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Задля мінімізації вищеза</w:t>
      </w:r>
      <w:r>
        <w:rPr>
          <w:rFonts w:ascii="Times New Roman" w:hAnsi="Times New Roman" w:cs="Times New Roman"/>
          <w:sz w:val="24"/>
          <w:szCs w:val="24"/>
        </w:rPr>
        <w:t xml:space="preserve">значених чинників на працівників під час надання ними монтажних послуг/виконання робіт, Учасник має забезпечити працівникам необхідні захисні засоби (діелектричні/робочі рукавиці, чоботи тощо; респіратори, захисні маски від пилу та бруду; захисні окуляри, </w:t>
      </w:r>
      <w:r>
        <w:rPr>
          <w:rFonts w:ascii="Times New Roman" w:hAnsi="Times New Roman" w:cs="Times New Roman"/>
          <w:sz w:val="24"/>
          <w:szCs w:val="24"/>
        </w:rPr>
        <w:t xml:space="preserve">беруші</w:t>
      </w:r>
      <w:r>
        <w:rPr>
          <w:rFonts w:ascii="Times New Roman" w:hAnsi="Times New Roman" w:cs="Times New Roman"/>
          <w:sz w:val="24"/>
          <w:szCs w:val="24"/>
        </w:rPr>
        <w:t xml:space="preserve"> та інші необхідні захисні засоби).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проведення технічного обслуговування.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проведенні технічного обслуговування необхідно виконувати наступні регламенти: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1 раз на місяць, перелік послуг, періодичність обслуговування: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Зовнішній огляд пристроїв протипожежного устаткування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Ревізійний огляд блоків живлення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 тощо 1 раз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Перевірка працездатності: приладів приймально-контрольних пожежних (справність плавких запобіжників), табло, блоків, світлозвукових пристроїв (СЗУ), динаміків, моноблоку, модулів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Перевірка працездатності органів керування (тестування програмного забезпечення)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Перевірка лінійної частини шлейфа 1 раз на 3 місяці.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Перевірка працездатності променів пожежної сигналізації 1 раз  на 3 місяці.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Перевірка працездатності сповіщувачів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Перевірка спрацьовування приладів приймально-контрольних пожежних при обриві і короткому замиканні </w:t>
      </w:r>
      <w:r>
        <w:rPr>
          <w:rFonts w:ascii="Times New Roman" w:hAnsi="Times New Roman" w:cs="Times New Roman"/>
          <w:sz w:val="24"/>
          <w:szCs w:val="24"/>
        </w:rPr>
        <w:t xml:space="preserve">променя</w:t>
      </w:r>
      <w:r>
        <w:rPr>
          <w:rFonts w:ascii="Times New Roman" w:hAnsi="Times New Roman" w:cs="Times New Roman"/>
          <w:sz w:val="24"/>
          <w:szCs w:val="24"/>
        </w:rPr>
        <w:t xml:space="preserve">, моноблоку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Перевірка напруги в променях пожежної сигналізації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Перевірка виносних сигналів тривоги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Контроль робочого положення вимикачів і перемикачів, справності світлової індикації, наявності пломб на приймально-контрольних приладах, моноблоку, справність світлової і звукової індикації 1 раз на місяць.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Контроль основного і резервного джерела живлення і перевірка автоматичного перемикання живлення з робочого вводу на резервний 1 раз на місяць.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2 рази на рік, перелік послуг, періодичність: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Перевірка та тестування модулів розширення провідних зон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Чищення від пилу димових сповіщувачів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Перевірка заземлення джерел живлення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Вимір параметрів лінійних проводів сполучних ліній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Вимір параметрів лінійних проводів шлейфа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Контроль спрацювання світлозвукових пристроїв (СЗУ), табло, динаміків у приміщеннях </w:t>
      </w:r>
      <w:r>
        <w:rPr>
          <w:rFonts w:ascii="Times New Roman" w:hAnsi="Times New Roman" w:cs="Times New Roman"/>
          <w:sz w:val="24"/>
          <w:szCs w:val="24"/>
        </w:rPr>
        <w:t xml:space="preserve">захищуваного</w:t>
      </w:r>
      <w:r>
        <w:rPr>
          <w:rFonts w:ascii="Times New Roman" w:hAnsi="Times New Roman" w:cs="Times New Roman"/>
          <w:sz w:val="24"/>
          <w:szCs w:val="24"/>
        </w:rPr>
        <w:t xml:space="preserve"> об’єкта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Перевірка надійності з’єднання всіх доступних випадковому доторканню металевих не струмопровідних частин ППКП з його </w:t>
      </w:r>
      <w:r>
        <w:rPr>
          <w:rFonts w:ascii="Times New Roman" w:hAnsi="Times New Roman" w:cs="Times New Roman"/>
          <w:sz w:val="24"/>
          <w:szCs w:val="24"/>
        </w:rPr>
        <w:t xml:space="preserve">зажимом</w:t>
      </w:r>
      <w:r>
        <w:rPr>
          <w:rFonts w:ascii="Times New Roman" w:hAnsi="Times New Roman" w:cs="Times New Roman"/>
          <w:sz w:val="24"/>
          <w:szCs w:val="24"/>
        </w:rPr>
        <w:t xml:space="preserve"> «заземлення», а також вимірювання значення опору між сказаними частинами та </w:t>
      </w:r>
      <w:r>
        <w:rPr>
          <w:rFonts w:ascii="Times New Roman" w:hAnsi="Times New Roman" w:cs="Times New Roman"/>
          <w:sz w:val="24"/>
          <w:szCs w:val="24"/>
        </w:rPr>
        <w:t xml:space="preserve">зажимом</w:t>
      </w:r>
      <w:r>
        <w:rPr>
          <w:rFonts w:ascii="Times New Roman" w:hAnsi="Times New Roman" w:cs="Times New Roman"/>
          <w:sz w:val="24"/>
          <w:szCs w:val="24"/>
        </w:rPr>
        <w:t xml:space="preserve"> «заземлення» на відповідність технічних умов на даний прилад 2 рази на рік.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технічному обслуговуванні приладів приймально-контрольних пожежних (ППКП) щомісячно необхідно перевіряти: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номінальні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напруги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електричних</w:t>
      </w:r>
      <w:r>
        <w:rPr>
          <w:rFonts w:ascii="Times New Roman" w:hAnsi="Times New Roman" w:cs="Times New Roman"/>
          <w:sz w:val="24"/>
          <w:szCs w:val="24"/>
        </w:rPr>
        <w:t xml:space="preserve"> мережах основного і резервного </w:t>
      </w:r>
      <w:r>
        <w:rPr>
          <w:rFonts w:ascii="Times New Roman" w:hAnsi="Times New Roman" w:cs="Times New Roman"/>
          <w:sz w:val="24"/>
          <w:szCs w:val="24"/>
        </w:rPr>
        <w:t xml:space="preserve">джерел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живлення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також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шлейфах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сигналізації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автоматичне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вмикання</w:t>
      </w:r>
      <w:r>
        <w:rPr>
          <w:rFonts w:ascii="Times New Roman" w:hAnsi="Times New Roman" w:cs="Times New Roman"/>
          <w:sz w:val="24"/>
          <w:szCs w:val="24"/>
        </w:rPr>
        <w:t xml:space="preserve"> резервного </w:t>
      </w:r>
      <w:r>
        <w:rPr>
          <w:rFonts w:ascii="Times New Roman" w:hAnsi="Times New Roman" w:cs="Times New Roman"/>
          <w:sz w:val="24"/>
          <w:szCs w:val="24"/>
        </w:rPr>
        <w:t xml:space="preserve">живлення</w:t>
      </w:r>
      <w:r>
        <w:rPr>
          <w:rFonts w:ascii="Times New Roman" w:hAnsi="Times New Roman" w:cs="Times New Roman"/>
          <w:sz w:val="24"/>
          <w:szCs w:val="24"/>
        </w:rPr>
        <w:t xml:space="preserve"> ППКП 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зникнення</w:t>
      </w:r>
      <w:r>
        <w:rPr>
          <w:rFonts w:ascii="Times New Roman" w:hAnsi="Times New Roman" w:cs="Times New Roman"/>
          <w:sz w:val="24"/>
          <w:szCs w:val="24"/>
        </w:rPr>
        <w:t xml:space="preserve"> основного;</w:t>
      </w:r>
      <w:r/>
    </w:p>
    <w:p>
      <w:pPr>
        <w:pStyle w:val="730"/>
        <w:numPr>
          <w:ilvl w:val="0"/>
          <w:numId w:val="40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працездатність</w:t>
      </w:r>
      <w:r>
        <w:rPr>
          <w:rFonts w:ascii="Times New Roman" w:hAnsi="Times New Roman" w:cs="Times New Roman"/>
          <w:sz w:val="24"/>
          <w:szCs w:val="24"/>
        </w:rPr>
        <w:t xml:space="preserve"> ППКП </w:t>
      </w:r>
      <w:r>
        <w:rPr>
          <w:rFonts w:ascii="Times New Roman" w:hAnsi="Times New Roman" w:cs="Times New Roman"/>
          <w:sz w:val="24"/>
          <w:szCs w:val="24"/>
        </w:rPr>
        <w:t xml:space="preserve">у режимах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Пожежа</w:t>
      </w:r>
      <w:r>
        <w:rPr>
          <w:rFonts w:ascii="Times New Roman" w:hAnsi="Times New Roman" w:cs="Times New Roman"/>
          <w:sz w:val="24"/>
          <w:szCs w:val="24"/>
        </w:rPr>
        <w:t xml:space="preserve">» та «</w:t>
      </w:r>
      <w:r>
        <w:rPr>
          <w:rFonts w:ascii="Times New Roman" w:hAnsi="Times New Roman" w:cs="Times New Roman"/>
          <w:sz w:val="24"/>
          <w:szCs w:val="24"/>
        </w:rPr>
        <w:t xml:space="preserve">Несправність</w:t>
      </w:r>
      <w:r>
        <w:rPr>
          <w:rFonts w:ascii="Times New Roman" w:hAnsi="Times New Roman" w:cs="Times New Roman"/>
          <w:sz w:val="24"/>
          <w:szCs w:val="24"/>
        </w:rPr>
        <w:t xml:space="preserve">» шляхом </w:t>
      </w:r>
      <w:r>
        <w:rPr>
          <w:rFonts w:ascii="Times New Roman" w:hAnsi="Times New Roman" w:cs="Times New Roman"/>
          <w:sz w:val="24"/>
          <w:szCs w:val="24"/>
        </w:rPr>
        <w:t xml:space="preserve">імітації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спрацьовування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сповіщувачів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порушень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шлейфів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сигналізації</w:t>
      </w:r>
      <w:r>
        <w:rPr>
          <w:rFonts w:ascii="Times New Roman" w:hAnsi="Times New Roman" w:cs="Times New Roman"/>
          <w:sz w:val="24"/>
          <w:szCs w:val="24"/>
        </w:rPr>
        <w:t xml:space="preserve">. При </w:t>
      </w:r>
      <w:r>
        <w:rPr>
          <w:rFonts w:ascii="Times New Roman" w:hAnsi="Times New Roman" w:cs="Times New Roman"/>
          <w:sz w:val="24"/>
          <w:szCs w:val="24"/>
        </w:rPr>
        <w:t xml:space="preserve">цьому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необхідно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контролювати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спрацьовування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виносних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світлових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звукових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індикаторів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перевірки адресних ППКП необхідно контролювати відповідність номера сповіщувача, від якого надійшов сигнал про пожежу, номеру сповіщувача. Спрацьовування якого імітувалось.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26 873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шість тисяч вісімсот сімдесят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353" w:hanging="360"/>
        <w:tabs>
          <w:tab w:val="num" w:pos="66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  <w:rPr>
        <w:rFonts w:cs="Times New Roman"/>
        <w:b/>
        <w:bCs/>
        <w:i w:val="0"/>
        <w:iCs w:val="0"/>
        <w:spacing w:val="-1"/>
        <w:sz w:val="24"/>
        <w:szCs w:val="24"/>
        <w:lang w:val="uk-UA" w:eastAsia="uk-UA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5297" w:hanging="720"/>
        <w:tabs>
          <w:tab w:val="num" w:pos="0" w:leader="none"/>
        </w:tabs>
      </w:pPr>
      <w:rPr>
        <w:rFonts w:cs="Times New Roman"/>
        <w:b w:val="0"/>
        <w:bCs w:val="0"/>
        <w:i w:val="0"/>
        <w:iCs w:val="0"/>
        <w:spacing w:val="-1"/>
        <w:sz w:val="24"/>
        <w:szCs w:val="24"/>
        <w:lang w:val="uk-UA" w:bidi="ar-SA"/>
      </w:rPr>
    </w:lvl>
    <w:lvl w:ilvl="3">
      <w:start w:val="1"/>
      <w:numFmt w:val="none"/>
      <w:isLgl w:val="false"/>
      <w:suff w:val="nothing"/>
      <w:lvlText w:val=""/>
      <w:lvlJc w:val="left"/>
      <w:pPr>
        <w:ind w:left="5441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4577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27"/>
  </w:num>
  <w:num w:numId="5">
    <w:abstractNumId w:val="6"/>
  </w:num>
  <w:num w:numId="6">
    <w:abstractNumId w:val="34"/>
  </w:num>
  <w:num w:numId="7">
    <w:abstractNumId w:val="11"/>
  </w:num>
  <w:num w:numId="8">
    <w:abstractNumId w:val="36"/>
  </w:num>
  <w:num w:numId="9">
    <w:abstractNumId w:val="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5"/>
  </w:num>
  <w:num w:numId="17">
    <w:abstractNumId w:val="0"/>
  </w:num>
  <w:num w:numId="18">
    <w:abstractNumId w:val="38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9"/>
  </w:num>
  <w:num w:numId="25">
    <w:abstractNumId w:val="22"/>
  </w:num>
  <w:num w:numId="26">
    <w:abstractNumId w:val="25"/>
  </w:num>
  <w:num w:numId="27">
    <w:abstractNumId w:val="30"/>
  </w:num>
  <w:num w:numId="28">
    <w:abstractNumId w:val="23"/>
  </w:num>
  <w:num w:numId="29">
    <w:abstractNumId w:val="32"/>
  </w:num>
  <w:num w:numId="30">
    <w:abstractNumId w:val="18"/>
  </w:num>
  <w:num w:numId="31">
    <w:abstractNumId w:val="2"/>
  </w:num>
  <w:num w:numId="32">
    <w:abstractNumId w:val="21"/>
  </w:num>
  <w:num w:numId="33">
    <w:abstractNumId w:val="17"/>
  </w:num>
  <w:num w:numId="34">
    <w:abstractNumId w:val="14"/>
  </w:num>
  <w:num w:numId="35">
    <w:abstractNumId w:val="37"/>
  </w:num>
  <w:num w:numId="36">
    <w:abstractNumId w:val="4"/>
  </w:num>
  <w:num w:numId="37">
    <w:abstractNumId w:val="20"/>
  </w:num>
  <w:num w:numId="38">
    <w:abstractNumId w:val="9"/>
  </w:num>
  <w:num w:numId="39">
    <w:abstractNumId w:val="1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3"/>
    <w:next w:val="72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2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7"/>
    <w:link w:val="72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7"/>
    <w:link w:val="72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3"/>
    <w:next w:val="72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2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3"/>
    <w:next w:val="72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2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3"/>
    <w:next w:val="72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2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3"/>
    <w:next w:val="72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2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3"/>
    <w:next w:val="72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2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3"/>
    <w:next w:val="72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27"/>
    <w:link w:val="33"/>
    <w:uiPriority w:val="10"/>
    <w:rPr>
      <w:sz w:val="48"/>
      <w:szCs w:val="48"/>
    </w:rPr>
  </w:style>
  <w:style w:type="paragraph" w:styleId="35">
    <w:name w:val="Subtitle"/>
    <w:basedOn w:val="723"/>
    <w:next w:val="72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27"/>
    <w:link w:val="35"/>
    <w:uiPriority w:val="11"/>
    <w:rPr>
      <w:sz w:val="24"/>
      <w:szCs w:val="24"/>
    </w:rPr>
  </w:style>
  <w:style w:type="paragraph" w:styleId="37">
    <w:name w:val="Quote"/>
    <w:basedOn w:val="723"/>
    <w:next w:val="72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3"/>
    <w:next w:val="72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27"/>
    <w:link w:val="41"/>
    <w:uiPriority w:val="99"/>
  </w:style>
  <w:style w:type="character" w:styleId="44">
    <w:name w:val="Footer Char"/>
    <w:basedOn w:val="727"/>
    <w:link w:val="736"/>
    <w:uiPriority w:val="99"/>
  </w:style>
  <w:style w:type="paragraph" w:styleId="45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36"/>
    <w:uiPriority w:val="99"/>
  </w:style>
  <w:style w:type="table" w:styleId="48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27"/>
    <w:uiPriority w:val="99"/>
    <w:unhideWhenUsed/>
    <w:rPr>
      <w:vertAlign w:val="superscript"/>
    </w:rPr>
  </w:style>
  <w:style w:type="paragraph" w:styleId="177">
    <w:name w:val="endnote text"/>
    <w:basedOn w:val="72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27"/>
    <w:uiPriority w:val="99"/>
    <w:semiHidden/>
    <w:unhideWhenUsed/>
    <w:rPr>
      <w:vertAlign w:val="superscript"/>
    </w:rPr>
  </w:style>
  <w:style w:type="paragraph" w:styleId="180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  <w:rPr>
      <w:lang w:val="uk-UA"/>
    </w:rPr>
  </w:style>
  <w:style w:type="paragraph" w:styleId="724">
    <w:name w:val="Heading 2"/>
    <w:basedOn w:val="723"/>
    <w:link w:val="74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5">
    <w:name w:val="Heading 3"/>
    <w:basedOn w:val="723"/>
    <w:next w:val="723"/>
    <w:link w:val="762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26">
    <w:name w:val="Heading 4"/>
    <w:basedOn w:val="723"/>
    <w:next w:val="723"/>
    <w:link w:val="76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paragraph" w:styleId="730">
    <w:name w:val="List Paragraph"/>
    <w:basedOn w:val="723"/>
    <w:link w:val="73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1" w:customStyle="1">
    <w:name w:val="Абзац списку Знак"/>
    <w:link w:val="730"/>
    <w:uiPriority w:val="34"/>
    <w:qFormat/>
    <w:rPr>
      <w:rFonts w:ascii="Calibri" w:hAnsi="Calibri" w:eastAsia="Calibri" w:cs="Calibri"/>
      <w:lang w:eastAsia="zh-CN"/>
    </w:rPr>
  </w:style>
  <w:style w:type="table" w:styleId="732">
    <w:name w:val="Table Grid"/>
    <w:basedOn w:val="7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Сетка таблицы2"/>
    <w:basedOn w:val="728"/>
    <w:next w:val="73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4">
    <w:name w:val="Normal (Web)"/>
    <w:basedOn w:val="723"/>
    <w:link w:val="74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35" w:customStyle="1">
    <w:name w:val="Сетка таблицы1"/>
    <w:basedOn w:val="728"/>
    <w:next w:val="73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6">
    <w:name w:val="Footer"/>
    <w:basedOn w:val="723"/>
    <w:link w:val="73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37" w:customStyle="1">
    <w:name w:val="Нижній колонтитул Знак"/>
    <w:basedOn w:val="727"/>
    <w:link w:val="736"/>
    <w:uiPriority w:val="99"/>
    <w:rPr>
      <w:rFonts w:ascii="Calibri" w:hAnsi="Calibri" w:eastAsia="Calibri" w:cs="Calibri"/>
      <w:lang w:eastAsia="zh-CN"/>
    </w:rPr>
  </w:style>
  <w:style w:type="paragraph" w:styleId="73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39">
    <w:name w:val="Hyperlink"/>
    <w:basedOn w:val="727"/>
    <w:uiPriority w:val="99"/>
    <w:unhideWhenUsed/>
    <w:rPr>
      <w:color w:val="0563c1" w:themeColor="hyperlink"/>
      <w:u w:val="single"/>
    </w:rPr>
  </w:style>
  <w:style w:type="character" w:styleId="740" w:customStyle="1">
    <w:name w:val="xfm_93972720"/>
    <w:basedOn w:val="727"/>
  </w:style>
  <w:style w:type="character" w:styleId="741" w:customStyle="1">
    <w:name w:val="Звичайний (веб) Знак"/>
    <w:link w:val="734"/>
    <w:qFormat/>
    <w:rPr>
      <w:rFonts w:ascii="Times New Roman" w:hAnsi="Times New Roman" w:cs="Times New Roman"/>
      <w:sz w:val="24"/>
      <w:szCs w:val="24"/>
      <w:lang w:val="uk-UA"/>
    </w:rPr>
  </w:style>
  <w:style w:type="paragraph" w:styleId="742">
    <w:name w:val="Body Text 2"/>
    <w:basedOn w:val="723"/>
    <w:link w:val="74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3" w:customStyle="1">
    <w:name w:val="Основний текст 2 Знак"/>
    <w:basedOn w:val="727"/>
    <w:link w:val="74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5" w:customStyle="1">
    <w:name w:val="Заголовок 2 Знак"/>
    <w:basedOn w:val="727"/>
    <w:link w:val="72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46">
    <w:name w:val="No Spacing"/>
    <w:link w:val="74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47" w:customStyle="1">
    <w:name w:val="Без інтервалів Знак"/>
    <w:basedOn w:val="727"/>
    <w:link w:val="746"/>
    <w:uiPriority w:val="1"/>
    <w:rPr>
      <w:rFonts w:ascii="Calibri" w:hAnsi="Calibri" w:eastAsia="Calibri" w:cs="Times New Roman"/>
      <w:lang w:val="uk-UA"/>
    </w:rPr>
  </w:style>
  <w:style w:type="character" w:styleId="748" w:customStyle="1">
    <w:name w:val="Другое_"/>
    <w:basedOn w:val="727"/>
    <w:link w:val="749"/>
    <w:rPr>
      <w:rFonts w:ascii="Calibri" w:hAnsi="Calibri" w:eastAsia="Calibri" w:cs="Calibri"/>
      <w:sz w:val="20"/>
      <w:szCs w:val="20"/>
    </w:rPr>
  </w:style>
  <w:style w:type="paragraph" w:styleId="749" w:customStyle="1">
    <w:name w:val="Другое"/>
    <w:basedOn w:val="723"/>
    <w:link w:val="74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1" w:customStyle="1">
    <w:name w:val="Основной текст (2)_"/>
    <w:basedOn w:val="727"/>
    <w:link w:val="752"/>
    <w:rPr>
      <w:rFonts w:eastAsia="Times New Roman" w:cs="Times New Roman"/>
      <w:shd w:val="clear" w:color="auto" w:fill="ffffff"/>
    </w:rPr>
  </w:style>
  <w:style w:type="paragraph" w:styleId="752" w:customStyle="1">
    <w:name w:val="Основной текст (2)"/>
    <w:basedOn w:val="723"/>
    <w:link w:val="75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3" w:customStyle="1">
    <w:name w:val="Текст у виносці Знак"/>
    <w:basedOn w:val="727"/>
    <w:link w:val="75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4">
    <w:name w:val="Balloon Text"/>
    <w:basedOn w:val="723"/>
    <w:link w:val="75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5" w:customStyle="1">
    <w:name w:val="Текст у виносці Знак1"/>
    <w:basedOn w:val="72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56" w:customStyle="1">
    <w:name w:val="T23"/>
    <w:rPr>
      <w:rFonts w:hint="default" w:ascii="Times New Roman" w:hAnsi="Times New Roman" w:eastAsia="Times New Roman1" w:cs="Times New Roman"/>
    </w:rPr>
  </w:style>
  <w:style w:type="paragraph" w:styleId="757" w:customStyle="1">
    <w:name w:val="Абзац списку1"/>
    <w:basedOn w:val="72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58" w:customStyle="1">
    <w:name w:val="markedcontent"/>
    <w:basedOn w:val="727"/>
  </w:style>
  <w:style w:type="paragraph" w:styleId="759">
    <w:name w:val="annotation text"/>
    <w:basedOn w:val="723"/>
    <w:link w:val="76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0" w:customStyle="1">
    <w:name w:val="Текст примітки Знак"/>
    <w:basedOn w:val="727"/>
    <w:link w:val="75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1" w:customStyle="1">
    <w:name w:val="docdata"/>
    <w:basedOn w:val="727"/>
  </w:style>
  <w:style w:type="character" w:styleId="762" w:customStyle="1">
    <w:name w:val="Заголовок 3 Знак"/>
    <w:basedOn w:val="727"/>
    <w:link w:val="725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3" w:customStyle="1">
    <w:name w:val="Заголовок 4 Знак"/>
    <w:basedOn w:val="727"/>
    <w:link w:val="726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4" w:customStyle="1">
    <w:name w:val="name-spec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5" w:customStyle="1">
    <w:name w:val="cont-spec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66">
    <w:name w:val="Strong"/>
    <w:basedOn w:val="727"/>
    <w:uiPriority w:val="22"/>
    <w:qFormat/>
    <w:rPr>
      <w:b/>
      <w:bCs/>
    </w:rPr>
  </w:style>
  <w:style w:type="paragraph" w:styleId="767" w:customStyle="1">
    <w:name w:val="rvps2"/>
    <w:basedOn w:val="723"/>
    <w:qFormat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156</cp:revision>
  <dcterms:created xsi:type="dcterms:W3CDTF">2022-11-01T12:47:00Z</dcterms:created>
  <dcterms:modified xsi:type="dcterms:W3CDTF">2024-04-05T13:13:43Z</dcterms:modified>
</cp:coreProperties>
</file>