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Назва пред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демонтажу, монтажу та технічного обслуговування кондиціонерів за код ДК 021:2015 50730000-1 «</w:t>
      </w:r>
      <w:r>
        <w:rPr>
          <w:rFonts w:ascii="Times New Roman" w:hAnsi="Times New Roman" w:cs="Times New Roman"/>
          <w:sz w:val="24"/>
          <w:szCs w:val="24"/>
        </w:rPr>
        <w:t xml:space="preserve">Послуги з ремонту і технічного обслуговування охолоджувальних установок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9464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демонтажу, монтажу та технічного обслуговування кондиціонерів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Монтаж, демонтаж та технічне обслуговування кондиціонера настінного типу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обладнання щодо якого проводиться демонтаж, монтаж та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технічне обслуговування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/>
    </w:p>
    <w:tbl>
      <w:tblPr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6874"/>
        <w:gridCol w:w="1134"/>
        <w:gridCol w:w="1276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обладнання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кондиціонування настінного типу 9 BTU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кондиціонування настінного типу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 кондиціонування настінного типу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/>
    </w:p>
    <w:p>
      <w:pPr>
        <w:jc w:val="center"/>
        <w:spacing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Перелік надання послуг демонтажу, монтажу та технічного обслуговування кондиціонерів</w:t>
      </w:r>
      <w:r/>
    </w:p>
    <w:p>
      <w:pPr>
        <w:jc w:val="center"/>
        <w:spacing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767"/>
        <w:gridCol w:w="971"/>
        <w:gridCol w:w="1245"/>
      </w:tblGrid>
      <w:tr>
        <w:trPr>
          <w:trHeight w:val="20"/>
        </w:trPr>
        <w:tc>
          <w:tcPr>
            <w:tcW w:w="654" w:type="dxa"/>
            <w:vAlign w:val="center"/>
            <w:textDirection w:val="lrTb"/>
            <w:noWrap w:val="false"/>
          </w:tcPr>
          <w:p>
            <w:pPr>
              <w:ind w:right="-108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обладнання, яке підлягає демонтажу, монтажу та обслуговуванню\найменування послуги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795"/>
        </w:trPr>
        <w:tc>
          <w:tcPr>
            <w:tcW w:w="654" w:type="dxa"/>
            <w:vAlign w:val="center"/>
            <w:textDirection w:val="lrTb"/>
            <w:noWrap w:val="false"/>
          </w:tcPr>
          <w:p>
            <w:pPr>
              <w:ind w:right="-108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Демонтаж, монтаж та технічне обслуговування системи кондиціонування настінного типу 9 BTU 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та перевірка працездатності системи кондиціювання перед початком надання послуг;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Демонтаж системи кондиціонування (з евакуацією холодоагенту в зовнішній блок);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Технічне обслуговування кондиціонерів (очищення випарника, фільтрів, дренажу крильчатки внутрішнього блоку; оч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ищення теплообмінника та лопотів вентилятора зовнішнього блоку; перевірка наявності фреону в кондиціонері; перевірка на герметичність з'єднань контуру холодоагенту; перевірка температури повітря на виході з кондиціонера та дозаправка кондиціонера фреоном);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Монтаж кондиціонеру, налаштування 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-налагоджувальні роботи;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витратних матеріалів необхідних для відновлення працездатності системи кондиціонування (заміна конденсатора на зовнішньому блоці та дозаправка фреоном R-22 до норми 600-800 г; заміна утеплювача обмотки на трубах).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Демонтаж, монтаж та технічне обслуговування системи кондиціонування настінного типу 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та перевірка працездатності системи кондиціювання перед початком надання послуг;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Демонтаж системи кондиціонування (з евакуацією холодоагенту в зовнішній блок);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Технічне обслуговування кондиціонерів (очищення випарника, фільтрів, дренажу крильчатки внутрішнього блоку; оч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ищення теплообмінника та лопотів вентилятора зовнішнього блоку; перевірка наявності фреону в кондиціонері; перевірка на герметичність з'єднань контуру холодоагенту; перевірка температури повітря на виході з кондиціонера та дозаправка кондиціонера фреоном);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Монтаж кондиціонеру, налаштування 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-налагоджувальні роботи;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витратних матеріалів необхідних для відновлення працездатності системи кондиціонування (заміна утеплювача обмотки на трубах).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/>
            <w:bookmarkStart w:id="0" w:name="_Hlk137569877"/>
            <w:r/>
            <w:bookmarkStart w:id="1" w:name="_Hlk1375698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Демонтаж, монтаж та технічне обслуговування системи кондиціонування настінного типу 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та перевірка працездатності системи кондиціювання перед початком надання послуг;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Демонтаж системи кондиціонування (з евакуацією холодоагенту в зовнішній блок);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Технічне обслуговування кондиціонерів (очищення випарника, фільтрів, дренажу крильчатки внутрішнього блоку; очищення теплообмінника та лопотів вентилятора зовнішнього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блоку; перевірка наявності фреону в кондиціонері; перевірка на герметичність з'єднань контуру холодоагенту; перевірка температури повітря на виході з кондиціонера та дозаправка кондиціонера фреоном);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Монтаж кондиціонеру, налаштування 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-налагоджувальні роботи;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витратних матеріалів необхідних для відновлення працездатності системи кондиціонування (заміна утеплювача обмотки на трубах).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bookmarkEnd w:id="0"/>
            <w:bookmarkEnd w:id="1"/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90"/>
        <w:numPr>
          <w:ilvl w:val="0"/>
          <w:numId w:val="21"/>
        </w:numPr>
        <w:ind w:left="0"/>
        <w:jc w:val="both"/>
        <w:spacing w:after="16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При наданні послуг Учасник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повенен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дотримуватись законодавства у сфері охорони праці (надати гарантійний лист).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10 550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0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130</cp:revision>
  <dcterms:created xsi:type="dcterms:W3CDTF">2022-11-01T12:47:00Z</dcterms:created>
  <dcterms:modified xsi:type="dcterms:W3CDTF">2023-07-28T09:14:39Z</dcterms:modified>
</cp:coreProperties>
</file>