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3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Розробка проектної документації стадія «Робочий проект» по об’єкту: «</w:t>
      </w:r>
      <w:r>
        <w:rPr>
          <w:b w:val="0"/>
          <w:bCs w:val="0"/>
          <w:sz w:val="24"/>
          <w:szCs w:val="24"/>
          <w:lang w:eastAsia="ru-RU"/>
        </w:rPr>
        <w:t xml:space="preserve">Капітальний ремонт зовнішніх інженерних  мереж з впорядкуванням території загального користування за </w:t>
      </w:r>
      <w:r>
        <w:rPr>
          <w:b w:val="0"/>
          <w:bCs w:val="0"/>
          <w:sz w:val="24"/>
          <w:szCs w:val="24"/>
          <w:lang w:eastAsia="ru-RU"/>
        </w:rPr>
        <w:t xml:space="preserve">адресою</w:t>
      </w:r>
      <w:r>
        <w:rPr>
          <w:b w:val="0"/>
          <w:bCs w:val="0"/>
          <w:sz w:val="24"/>
          <w:szCs w:val="24"/>
          <w:lang w:eastAsia="ru-RU"/>
        </w:rPr>
        <w:t xml:space="preserve">: м. Київ, вул. Волинська, 26</w:t>
      </w:r>
      <w:r>
        <w:rPr>
          <w:b w:val="0"/>
          <w:bCs w:val="0"/>
          <w:sz w:val="24"/>
          <w:szCs w:val="24"/>
        </w:rPr>
        <w:t xml:space="preserve">» </w:t>
      </w:r>
      <w:r>
        <w:rPr>
          <w:b w:val="0"/>
          <w:bCs w:val="0"/>
          <w:color w:val="000000"/>
          <w:sz w:val="24"/>
          <w:szCs w:val="24"/>
        </w:rPr>
        <w:t xml:space="preserve">(в тому числі експертиза кошторисної частини проекту) за кодом CPV за ЄЗС ДК 021:2015:71320000-7 «Послуги з інженерного проектування»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7517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Розробка проектної документації стадія «Робочий проект» по об’єкту: 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Капітальний ремонт зовнішніх інженерних  мереж з впорядкуванням території загального користування за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адресою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: м. Київ, вул. Волинська, 26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(в тому числі експертиза кошторисної частини проекту) за кодом CPV за ЄЗС ДК 021:2015:71320000-7 «Послуги з інженерного проектування»</w:t>
      </w:r>
      <w:r/>
    </w:p>
    <w:p>
      <w:pPr>
        <w:pStyle w:val="77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ЗАВДАННЯ НА ПРОЄКТУВАННЯ</w:t>
      </w:r>
      <w:r/>
    </w:p>
    <w:p>
      <w:pPr>
        <w:pStyle w:val="77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85" w:type="dxa"/>
          <w:right w:w="85" w:type="dxa"/>
        </w:tblCellMar>
        <w:tblLook w:val="0020" w:firstRow="1" w:lastRow="0" w:firstColumn="0" w:lastColumn="0" w:noHBand="0" w:noVBand="0"/>
      </w:tblPr>
      <w:tblGrid>
        <w:gridCol w:w="548"/>
        <w:gridCol w:w="3592"/>
        <w:gridCol w:w="6300"/>
      </w:tblGrid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Перелік основних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відомостей та вимог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Зміст основних відомостей та  вимог 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 та місцезнаходження об’єкту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Капітальний ремонт зовнішніх інженерних  мереж з впорядкуванням території загального користування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адресою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м. Київ, вул. Волинська, 26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Підстава для проектування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План фінансування на 2024 рік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будівництва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замовника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ДЕРЖАВНА УСТАНОВА «ЦЕНТР ІНФРАСТРУКТУРИ ТА ТЕХНОЛОГІЙ МІНІСТЕРСТВА ВНУТРІШНІХ СПРАВ УКРАЇНИ»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Джерело фінансування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Державний бюджет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генерального проектувальника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Визначається за результатами закупівлі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Стадійність проектування з визначенням затверджуваної стадії</w:t>
            </w:r>
            <w:r/>
          </w:p>
        </w:tc>
        <w:tc>
          <w:tcPr>
            <w:shd w:val="clear" w:color="auto" w:fill="auto"/>
            <w:tcW w:w="6300" w:type="dxa"/>
            <w:vAlign w:val="center"/>
            <w:textDirection w:val="lrTb"/>
            <w:noWrap w:val="false"/>
          </w:tcPr>
          <w:p>
            <w:pPr>
              <w:ind w:firstLine="33"/>
              <w:jc w:val="both"/>
              <w:spacing w:after="0" w:line="240" w:lineRule="auto"/>
              <w:tabs>
                <w:tab w:val="left" w:pos="385" w:leader="none"/>
              </w:tabs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Arial Unicode MS"/>
                <w:color w:val="000000"/>
                <w:sz w:val="24"/>
                <w:szCs w:val="24"/>
                <w:lang w:eastAsia="uk-UA"/>
              </w:rPr>
              <w:t xml:space="preserve">Одна стадія “Робочий проект”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Інженерні вишукування</w:t>
            </w:r>
            <w:r/>
          </w:p>
        </w:tc>
        <w:tc>
          <w:tcPr>
            <w:shd w:val="clear" w:color="auto" w:fill="auto"/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потрібно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(роботи виконуються в межах існуючих фундаментів будівель)</w:t>
            </w:r>
            <w:r/>
          </w:p>
        </w:tc>
      </w:tr>
      <w:tr>
        <w:trPr>
          <w:jc w:val="center"/>
          <w:trHeight w:val="121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особливості умови будівництва( сейсмічність, просадні ґрунти підроблю вальні і підтоплю вальні території тощо).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jc w:val="center"/>
          <w:trHeight w:val="116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Визначення класу наслідків (відповідальності) і встановленого строку експлуатації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СС1</w:t>
            </w:r>
            <w:r/>
          </w:p>
        </w:tc>
      </w:tr>
      <w:tr>
        <w:trPr>
          <w:jc w:val="center"/>
          <w:trHeight w:val="519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особливі умови будівництва 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jc w:val="center"/>
          <w:trHeight w:val="78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Основні архітектурно-планувальні вимоги і характеристики запроектованого об’єкта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ind w:left="2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Зовнішні інженерні мережі (водопостачання, водовідведення, електропостачання),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лагоустрій території площею 5581м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</w:t>
            </w:r>
            <w:r/>
          </w:p>
        </w:tc>
      </w:tr>
      <w:tr>
        <w:trPr>
          <w:jc w:val="center"/>
          <w:trHeight w:val="94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Черговість будівництва, необхідність виділення пускових комплексів 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одну чергу 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W w:w="98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Вказівки про необхідність: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розроблення індивідуальних технічних вимог;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2). Розроблення окремих проектних рішень у декількох варіантах і на конкурсній основі;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92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Попередні погодження проектних рішень;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contextualSpacing/>
              <w:ind w:left="0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101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4). Виконання демонстраційних матеріалів, макетів, креслень, інтер’єрів, їх склад та форма;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5). Виконання науково-дослідних та дослідно-експериментальних робіт у процесі проектування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Відсутні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6). Технічний захист інформації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Згідно діючого договору</w:t>
            </w:r>
            <w:r/>
          </w:p>
        </w:tc>
      </w:tr>
      <w:tr>
        <w:trPr>
          <w:jc w:val="center"/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Потужність або характеристика об’єкта, виробнича програма.</w:t>
            </w:r>
            <w:r/>
          </w:p>
        </w:tc>
        <w:tc>
          <w:tcPr>
            <w:tcW w:w="630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Визначається  згідно ДБН А.2.2-3-2014 «Склад та зміст проектної документації на будівництво».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 до благоустрою майданчика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інженерного захисту територій та об’єктів, виробнича програма.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щодо розроблення розділу «Оцінка впливу на  навколишнє середовище».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1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з енергозбереження та енергоефективності.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jc w:val="center"/>
          <w:trHeight w:val="12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Дані про технології і (або) науково-дослідні роботи, які пропонує застосувати  замовник.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14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режиму безпеки та охорони праці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Згідно діючих нормативів</w:t>
            </w:r>
            <w:r/>
          </w:p>
        </w:tc>
      </w:tr>
      <w:tr>
        <w:trPr>
          <w:jc w:val="center"/>
          <w:trHeight w:val="18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 до розробки розділу інженерно-технічних заходів з цивільного захисту (цивільної оборони)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систем протипожежного захисту об’єкту.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Згідно діючого законодавства 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Містобудівні вимоги щодо території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jc w:val="center"/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інклюзивності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об’єкту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jc w:val="center"/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Перелік будинків і споруд що проектуються у складі комплексу.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contextualSpacing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Зовнішні інженерні мережі (водопостачання, водовідведення, електропостачання)</w:t>
            </w:r>
            <w:r/>
          </w:p>
        </w:tc>
      </w:tr>
      <w:tr>
        <w:trPr>
          <w:jc w:val="center"/>
          <w:trHeight w:val="19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Кількість примірників кошторисної документації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примірники в паперовому виді та 1 електронний носій</w:t>
            </w:r>
            <w:r/>
          </w:p>
        </w:tc>
      </w:tr>
      <w:tr>
        <w:trPr>
          <w:jc w:val="center"/>
          <w:trHeight w:val="19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вимоги до проектування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Розробити наступні розділи: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Зовнішні мережі водопостачання;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Зовнішні мережі водовідведення;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Зовнішні мережі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елетропостачання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Кошторисна документація</w:t>
            </w:r>
            <w:r/>
          </w:p>
        </w:tc>
      </w:tr>
      <w:tr>
        <w:trPr>
          <w:jc w:val="center"/>
          <w:trHeight w:val="12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кошторисної документації.</w:t>
            </w:r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Кошторисна документація має бути розрах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ована згідно КНУ «Настанова з визначення вартості будівництва» затвердженої Наказом Міністерства розвитку громад, територій та інфраструктури України від 01.11.2021 № 281, за допомогою ліцензійного програмного комплексу АВК-5 останньої версії, або аналогу.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 складанні кошторисної документації врахувати кошти на технічний нагляд (у розмірі 1,5% від підсумку глав 1-9), на авторський нагляд, здійснення експертизи кошторисної частини проектно-кошторисної документації, вартість проектних робіт.</w:t>
            </w:r>
            <w:r/>
          </w:p>
        </w:tc>
      </w:tr>
    </w:tbl>
    <w:p>
      <w:r/>
      <w:r/>
    </w:p>
    <w:p>
      <w:pPr>
        <w:contextualSpacing/>
        <w:ind w:firstLine="567"/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Вартість проектних робіт та експертизи проектної документації на будівництво розраховується відповідно до завдання на </w:t>
      </w:r>
      <w:r>
        <w:rPr>
          <w:rFonts w:ascii="Times New Roman" w:hAnsi="Times New Roman"/>
          <w:sz w:val="24"/>
          <w:szCs w:val="24"/>
        </w:rPr>
        <w:t xml:space="preserve">коригування</w:t>
      </w:r>
      <w:r>
        <w:rPr>
          <w:rFonts w:ascii="Times New Roman" w:hAnsi="Times New Roman"/>
          <w:sz w:val="24"/>
          <w:szCs w:val="24"/>
        </w:rPr>
        <w:t xml:space="preserve"> та Настанови з визначення вартості проектних, науково-проектних, вишукувальних робіт та експертизи проектної документації на будівництво, яка затверджена наказом Мініст</w:t>
      </w:r>
      <w:r>
        <w:rPr>
          <w:rFonts w:ascii="Times New Roman" w:hAnsi="Times New Roman"/>
          <w:sz w:val="24"/>
          <w:szCs w:val="24"/>
        </w:rPr>
        <w:t xml:space="preserve">ерства розвитку громад, територій та інфраструктури України від 01.11.2021 № 281, Учаснику у складі тендерної пропозиції необхідно надати гарантійний лист для підтвердження даної вимоги та самі розрахунки у вигляді документів, що підтверджують дану вимогу.</w:t>
      </w:r>
      <w:r/>
    </w:p>
    <w:p>
      <w:pPr>
        <w:ind w:right="23" w:firstLine="567"/>
        <w:jc w:val="both"/>
        <w:spacing w:after="0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Учасник повинен виконати роботи, що є предметом закупівлі, в обсягах та у строки, які визначені Замовником (надати гарантій</w:t>
      </w:r>
      <w:r>
        <w:rPr>
          <w:rFonts w:ascii="Times New Roman" w:hAnsi="Times New Roman"/>
          <w:sz w:val="24"/>
          <w:szCs w:val="24"/>
        </w:rPr>
        <w:t xml:space="preserve">ний</w:t>
      </w:r>
      <w:r>
        <w:rPr>
          <w:rFonts w:ascii="Times New Roman" w:hAnsi="Times New Roman"/>
          <w:sz w:val="24"/>
          <w:szCs w:val="24"/>
        </w:rPr>
        <w:t xml:space="preserve"> лист).</w:t>
      </w:r>
      <w:r/>
    </w:p>
    <w:p>
      <w:pPr>
        <w:ind w:right="23" w:firstLine="567"/>
        <w:jc w:val="both"/>
        <w:spacing w:after="0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Всі необхідні витратні матеріали, що необхідні для виконання робіт, Учаснику необхідно передбачити та </w:t>
      </w:r>
      <w:r>
        <w:rPr>
          <w:rFonts w:ascii="Times New Roman" w:hAnsi="Times New Roman"/>
          <w:sz w:val="24"/>
          <w:szCs w:val="24"/>
        </w:rPr>
        <w:t xml:space="preserve">внести</w:t>
      </w:r>
      <w:r>
        <w:rPr>
          <w:rFonts w:ascii="Times New Roman" w:hAnsi="Times New Roman"/>
          <w:sz w:val="24"/>
          <w:szCs w:val="24"/>
        </w:rPr>
        <w:t xml:space="preserve"> в ціну тендерної пропозиції. (за необхідності Учасник може за домовленістю із Замовником відвідати та оглянути об’єкт Замовника для правильних розрахунків вартості та економії бюджетних коштів). Об’єкт </w:t>
      </w:r>
      <w:r>
        <w:rPr>
          <w:rFonts w:ascii="Times New Roman" w:hAnsi="Times New Roman"/>
          <w:sz w:val="24"/>
          <w:szCs w:val="24"/>
        </w:rPr>
        <w:t xml:space="preserve">капітального ремонту</w:t>
      </w:r>
      <w:r>
        <w:rPr>
          <w:rFonts w:ascii="Times New Roman" w:hAnsi="Times New Roman"/>
          <w:sz w:val="24"/>
          <w:szCs w:val="24"/>
        </w:rPr>
        <w:t xml:space="preserve">, за яким необхідно виконати проектні роботи, знаходиться у м. </w:t>
      </w:r>
      <w:r>
        <w:rPr>
          <w:rFonts w:ascii="Times New Roman" w:hAnsi="Times New Roman"/>
          <w:sz w:val="24"/>
          <w:szCs w:val="24"/>
        </w:rPr>
        <w:t xml:space="preserve">Київ, вул. Волинська, 26.</w:t>
      </w:r>
      <w:r/>
    </w:p>
    <w:p>
      <w:pPr>
        <w:ind w:right="23" w:firstLine="567"/>
        <w:jc w:val="both"/>
        <w:spacing w:after="0"/>
        <w:tabs>
          <w:tab w:val="left" w:pos="0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Учасник повинен надати у складі пропозиції лист щодо підтвердження виконання проектних робіт без отримання авансового платежу.</w:t>
      </w:r>
      <w:r/>
    </w:p>
    <w:p>
      <w:pPr>
        <w:ind w:firstLine="567"/>
        <w:jc w:val="both"/>
        <w:spacing w:after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Учасники повинні надати у складі пропозицій гарантійний лист, що Учасник гарантує у разі визначення його переможцем закупівлі він зобов’язаний провести експертизу </w:t>
      </w:r>
      <w:r>
        <w:rPr>
          <w:rFonts w:ascii="Times New Roman" w:hAnsi="Times New Roman"/>
          <w:sz w:val="24"/>
          <w:szCs w:val="24"/>
        </w:rPr>
        <w:t xml:space="preserve">кошторисної частини </w:t>
      </w:r>
      <w:r>
        <w:rPr>
          <w:rFonts w:ascii="Times New Roman" w:hAnsi="Times New Roman"/>
          <w:sz w:val="24"/>
          <w:szCs w:val="24"/>
        </w:rPr>
        <w:t xml:space="preserve">проектно-кошторисної документації та надати результат експертизи Замовнику, оформлений відповідним документом. У разі якщо у висновку до експерт</w:t>
      </w:r>
      <w:r>
        <w:rPr>
          <w:rFonts w:ascii="Times New Roman" w:hAnsi="Times New Roman"/>
          <w:sz w:val="24"/>
          <w:szCs w:val="24"/>
        </w:rPr>
        <w:t xml:space="preserve">изи буде зазначена менша вартість проектних робіт ніж надав Учасник-переможець то він зобов’язується укласти додаткову угоду, на зменшення суми договору відповідно до підпункту 5 пункту 19 Особливостей без зміни обсягу робіт та якісних характеристик робіт.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розмір бюджетного призначення визначено Законом України «Про Державний бюджет України на 2024 рік» за КПКВК 1001050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«Забезпечення діяльності органів, установ та закладів Міністерства внутрішніх справ України, підготовка кадрів закладами вищої освіти із спеціальними умовами навчання» відповідно до бюджетного запиту на 2024 рік.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112 490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дванадцять тисяч чотириста дев’яносто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345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-27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2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5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0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19"/>
  </w:num>
  <w:num w:numId="3">
    <w:abstractNumId w:val="9"/>
  </w:num>
  <w:num w:numId="4">
    <w:abstractNumId w:val="28"/>
  </w:num>
  <w:num w:numId="5">
    <w:abstractNumId w:val="8"/>
  </w:num>
  <w:num w:numId="6">
    <w:abstractNumId w:val="35"/>
  </w:num>
  <w:num w:numId="7">
    <w:abstractNumId w:val="12"/>
  </w:num>
  <w:num w:numId="8">
    <w:abstractNumId w:val="37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6"/>
  </w:num>
  <w:num w:numId="17">
    <w:abstractNumId w:val="2"/>
  </w:num>
  <w:num w:numId="18">
    <w:abstractNumId w:val="41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2"/>
  </w:num>
  <w:num w:numId="26">
    <w:abstractNumId w:val="25"/>
  </w:num>
  <w:num w:numId="27">
    <w:abstractNumId w:val="32"/>
  </w:num>
  <w:num w:numId="28">
    <w:abstractNumId w:val="23"/>
  </w:num>
  <w:num w:numId="29">
    <w:abstractNumId w:val="33"/>
  </w:num>
  <w:num w:numId="30">
    <w:abstractNumId w:val="18"/>
  </w:num>
  <w:num w:numId="31">
    <w:abstractNumId w:val="4"/>
  </w:num>
  <w:num w:numId="32">
    <w:abstractNumId w:val="21"/>
  </w:num>
  <w:num w:numId="33">
    <w:abstractNumId w:val="17"/>
  </w:num>
  <w:num w:numId="34">
    <w:abstractNumId w:val="15"/>
  </w:num>
  <w:num w:numId="35">
    <w:abstractNumId w:val="39"/>
  </w:num>
  <w:num w:numId="36">
    <w:abstractNumId w:val="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4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9"/>
    <w:next w:val="72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3"/>
    <w:link w:val="73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3"/>
    <w:link w:val="73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3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9"/>
    <w:next w:val="72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9"/>
    <w:next w:val="72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9"/>
    <w:next w:val="72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9"/>
    <w:next w:val="72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9"/>
    <w:next w:val="72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9"/>
    <w:next w:val="72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3"/>
    <w:link w:val="33"/>
    <w:uiPriority w:val="10"/>
    <w:rPr>
      <w:sz w:val="48"/>
      <w:szCs w:val="48"/>
    </w:rPr>
  </w:style>
  <w:style w:type="paragraph" w:styleId="35">
    <w:name w:val="Subtitle"/>
    <w:basedOn w:val="729"/>
    <w:next w:val="72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3"/>
    <w:link w:val="35"/>
    <w:uiPriority w:val="11"/>
    <w:rPr>
      <w:sz w:val="24"/>
      <w:szCs w:val="24"/>
    </w:rPr>
  </w:style>
  <w:style w:type="paragraph" w:styleId="37">
    <w:name w:val="Quote"/>
    <w:basedOn w:val="729"/>
    <w:next w:val="72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9"/>
    <w:next w:val="72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33"/>
    <w:link w:val="41"/>
    <w:uiPriority w:val="99"/>
  </w:style>
  <w:style w:type="character" w:styleId="44">
    <w:name w:val="Footer Char"/>
    <w:basedOn w:val="733"/>
    <w:link w:val="742"/>
    <w:uiPriority w:val="99"/>
  </w:style>
  <w:style w:type="paragraph" w:styleId="45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2"/>
    <w:uiPriority w:val="99"/>
  </w:style>
  <w:style w:type="table" w:styleId="48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3"/>
    <w:uiPriority w:val="99"/>
    <w:unhideWhenUsed/>
    <w:rPr>
      <w:vertAlign w:val="superscript"/>
    </w:rPr>
  </w:style>
  <w:style w:type="paragraph" w:styleId="177">
    <w:name w:val="endnote text"/>
    <w:basedOn w:val="72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3"/>
    <w:uiPriority w:val="99"/>
    <w:semiHidden/>
    <w:unhideWhenUsed/>
    <w:rPr>
      <w:vertAlign w:val="superscript"/>
    </w:rPr>
  </w:style>
  <w:style w:type="paragraph" w:styleId="180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rPr>
      <w:lang w:val="uk-UA"/>
    </w:rPr>
  </w:style>
  <w:style w:type="paragraph" w:styleId="730">
    <w:name w:val="Heading 2"/>
    <w:basedOn w:val="729"/>
    <w:link w:val="75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31">
    <w:name w:val="Heading 3"/>
    <w:basedOn w:val="729"/>
    <w:next w:val="729"/>
    <w:link w:val="768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32">
    <w:name w:val="Heading 4"/>
    <w:basedOn w:val="729"/>
    <w:next w:val="729"/>
    <w:link w:val="769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paragraph" w:styleId="736">
    <w:name w:val="List Paragraph"/>
    <w:basedOn w:val="729"/>
    <w:link w:val="73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7" w:customStyle="1">
    <w:name w:val="Абзац списку Знак"/>
    <w:link w:val="736"/>
    <w:uiPriority w:val="34"/>
    <w:qFormat/>
    <w:rPr>
      <w:rFonts w:ascii="Calibri" w:hAnsi="Calibri" w:eastAsia="Calibri" w:cs="Calibri"/>
      <w:lang w:eastAsia="zh-CN"/>
    </w:rPr>
  </w:style>
  <w:style w:type="table" w:styleId="738">
    <w:name w:val="Table Grid"/>
    <w:basedOn w:val="7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Сетка таблицы2"/>
    <w:basedOn w:val="734"/>
    <w:next w:val="73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Normal (Web)"/>
    <w:basedOn w:val="729"/>
    <w:link w:val="747"/>
    <w:unhideWhenUsed/>
    <w:qFormat/>
    <w:rPr>
      <w:rFonts w:ascii="Times New Roman" w:hAnsi="Times New Roman" w:cs="Times New Roman"/>
      <w:sz w:val="24"/>
      <w:szCs w:val="24"/>
    </w:rPr>
  </w:style>
  <w:style w:type="table" w:styleId="741" w:customStyle="1">
    <w:name w:val="Сетка таблицы1"/>
    <w:basedOn w:val="734"/>
    <w:next w:val="73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2">
    <w:name w:val="Footer"/>
    <w:basedOn w:val="729"/>
    <w:link w:val="74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3" w:customStyle="1">
    <w:name w:val="Нижній колонтитул Знак"/>
    <w:basedOn w:val="733"/>
    <w:link w:val="742"/>
    <w:uiPriority w:val="99"/>
    <w:rPr>
      <w:rFonts w:ascii="Calibri" w:hAnsi="Calibri" w:eastAsia="Calibri" w:cs="Calibri"/>
      <w:lang w:eastAsia="zh-CN"/>
    </w:rPr>
  </w:style>
  <w:style w:type="paragraph" w:styleId="74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5">
    <w:name w:val="Hyperlink"/>
    <w:basedOn w:val="733"/>
    <w:uiPriority w:val="99"/>
    <w:unhideWhenUsed/>
    <w:rPr>
      <w:color w:val="0563c1" w:themeColor="hyperlink"/>
      <w:u w:val="single"/>
    </w:rPr>
  </w:style>
  <w:style w:type="character" w:styleId="746" w:customStyle="1">
    <w:name w:val="xfm_93972720"/>
    <w:basedOn w:val="733"/>
  </w:style>
  <w:style w:type="character" w:styleId="747" w:customStyle="1">
    <w:name w:val="Звичайний (веб) Знак"/>
    <w:link w:val="740"/>
    <w:qFormat/>
    <w:rPr>
      <w:rFonts w:ascii="Times New Roman" w:hAnsi="Times New Roman" w:cs="Times New Roman"/>
      <w:sz w:val="24"/>
      <w:szCs w:val="24"/>
      <w:lang w:val="uk-UA"/>
    </w:rPr>
  </w:style>
  <w:style w:type="paragraph" w:styleId="748">
    <w:name w:val="Body Text 2"/>
    <w:basedOn w:val="729"/>
    <w:link w:val="74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9" w:customStyle="1">
    <w:name w:val="Основний текст 2 Знак"/>
    <w:basedOn w:val="733"/>
    <w:link w:val="74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51" w:customStyle="1">
    <w:name w:val="Заголовок 2 Знак"/>
    <w:basedOn w:val="733"/>
    <w:link w:val="73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2">
    <w:name w:val="No Spacing"/>
    <w:link w:val="75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3" w:customStyle="1">
    <w:name w:val="Без інтервалів Знак"/>
    <w:basedOn w:val="733"/>
    <w:link w:val="752"/>
    <w:uiPriority w:val="1"/>
    <w:rPr>
      <w:rFonts w:ascii="Calibri" w:hAnsi="Calibri" w:eastAsia="Calibri" w:cs="Times New Roman"/>
      <w:lang w:val="uk-UA"/>
    </w:rPr>
  </w:style>
  <w:style w:type="character" w:styleId="754" w:customStyle="1">
    <w:name w:val="Другое_"/>
    <w:basedOn w:val="733"/>
    <w:link w:val="755"/>
    <w:rPr>
      <w:rFonts w:ascii="Calibri" w:hAnsi="Calibri" w:eastAsia="Calibri" w:cs="Calibri"/>
      <w:sz w:val="20"/>
      <w:szCs w:val="20"/>
    </w:rPr>
  </w:style>
  <w:style w:type="paragraph" w:styleId="755" w:customStyle="1">
    <w:name w:val="Другое"/>
    <w:basedOn w:val="729"/>
    <w:link w:val="75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7" w:customStyle="1">
    <w:name w:val="Основной текст (2)_"/>
    <w:basedOn w:val="733"/>
    <w:link w:val="758"/>
    <w:rPr>
      <w:rFonts w:eastAsia="Times New Roman" w:cs="Times New Roman"/>
      <w:shd w:val="clear" w:color="auto" w:fill="ffffff"/>
    </w:rPr>
  </w:style>
  <w:style w:type="paragraph" w:styleId="758" w:customStyle="1">
    <w:name w:val="Основной текст (2)"/>
    <w:basedOn w:val="729"/>
    <w:link w:val="75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9" w:customStyle="1">
    <w:name w:val="Текст у виносці Знак"/>
    <w:basedOn w:val="733"/>
    <w:link w:val="76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60">
    <w:name w:val="Balloon Text"/>
    <w:basedOn w:val="729"/>
    <w:link w:val="75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61" w:customStyle="1">
    <w:name w:val="Текст у виносці Знак1"/>
    <w:basedOn w:val="73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62" w:customStyle="1">
    <w:name w:val="T23"/>
    <w:rPr>
      <w:rFonts w:hint="default" w:ascii="Times New Roman" w:hAnsi="Times New Roman" w:eastAsia="Times New Roman1" w:cs="Times New Roman"/>
    </w:rPr>
  </w:style>
  <w:style w:type="paragraph" w:styleId="763" w:customStyle="1">
    <w:name w:val="Абзац списку1"/>
    <w:basedOn w:val="72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4" w:customStyle="1">
    <w:name w:val="markedcontent"/>
    <w:basedOn w:val="733"/>
  </w:style>
  <w:style w:type="paragraph" w:styleId="765">
    <w:name w:val="annotation text"/>
    <w:basedOn w:val="729"/>
    <w:link w:val="766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6" w:customStyle="1">
    <w:name w:val="Текст примітки Знак"/>
    <w:basedOn w:val="733"/>
    <w:link w:val="76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7" w:customStyle="1">
    <w:name w:val="docdata"/>
    <w:basedOn w:val="733"/>
  </w:style>
  <w:style w:type="character" w:styleId="768" w:customStyle="1">
    <w:name w:val="Заголовок 3 Знак"/>
    <w:basedOn w:val="733"/>
    <w:link w:val="731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9" w:customStyle="1">
    <w:name w:val="Заголовок 4 Знак"/>
    <w:basedOn w:val="733"/>
    <w:link w:val="732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70" w:customStyle="1">
    <w:name w:val="name-spec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71" w:customStyle="1">
    <w:name w:val="cont-spec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72">
    <w:name w:val="Strong"/>
    <w:basedOn w:val="733"/>
    <w:uiPriority w:val="22"/>
    <w:qFormat/>
    <w:rPr>
      <w:b/>
      <w:bCs/>
    </w:rPr>
  </w:style>
  <w:style w:type="paragraph" w:styleId="773" w:customStyle="1">
    <w:name w:val="rvps6"/>
    <w:basedOn w:val="72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74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75" w:customStyle="1">
    <w:name w:val="Без інтервалів1"/>
    <w:pPr>
      <w:spacing w:after="0" w:line="240" w:lineRule="auto"/>
    </w:pPr>
    <w:rPr>
      <w:rFonts w:ascii="Calibri" w:hAnsi="Calibri" w:eastAsia="Calibri" w:cs="Times New Roman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165</cp:revision>
  <dcterms:created xsi:type="dcterms:W3CDTF">2022-11-01T12:47:00Z</dcterms:created>
  <dcterms:modified xsi:type="dcterms:W3CDTF">2024-09-03T09:08:06Z</dcterms:modified>
</cp:coreProperties>
</file>