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ОБҐРУНТУВАННЯ ТЕХНІЧНИХ ТА ЯКІСНИХ ХАРАКТЕРИСТИК ПРЕДМЕТА ЗАКУПІВЛІ, РОЗМІРУ БЮДЖЕТНОГО ПРИЗНАЧЕННЯ, ОЧІКУВАНОЇ ВАРТОСТІ ПРЕДМЕТА ЗАКУПІВЛІ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(відповідно до пункту 4</w:t>
      </w:r>
      <w:r>
        <w:rPr>
          <w:rFonts w:ascii="Times New Roman" w:hAnsi="Times New Roman" w:cs="Times New Roman"/>
          <w:sz w:val="24"/>
          <w:szCs w:val="24"/>
          <w:vertAlign w:val="superscript"/>
        </w:rPr>
        <w:t xml:space="preserve">1</w:t>
      </w:r>
      <w:r>
        <w:rPr>
          <w:rFonts w:ascii="Times New Roman" w:hAnsi="Times New Roman" w:cs="Times New Roman"/>
          <w:sz w:val="24"/>
          <w:szCs w:val="24"/>
        </w:rPr>
        <w:t xml:space="preserve"> постанови КМУ від 11.10.2016 № 710 «Про ефективне використання державних коштів» (зі змінами))</w:t>
      </w:r>
      <w:r/>
    </w:p>
    <w:p>
      <w:pPr>
        <w:jc w:val="center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Найменування, місцезнаходження та ідентифікаційний код замовника в Єдиному державному реєстрі юридичних осіб, фізичних осіб-підприємців та громадських формувань, його категорія: </w:t>
      </w:r>
      <w:r>
        <w:rPr>
          <w:rFonts w:ascii="Times New Roman" w:hAnsi="Times New Roman" w:cs="Times New Roman"/>
          <w:sz w:val="24"/>
          <w:szCs w:val="24"/>
        </w:rPr>
        <w:t xml:space="preserve">ДЕРЖАВНА УСТАНОВА "ЦЕНТР ІНФРАСТРУКТУРИ ТА ТЕХНОЛОГІЙ МІНІСТЕРСТВА ВНУТРІШНІХ СПРАВ УКРАЇНИ"; 03151, Україна, м. Київ, вул. Володимира </w:t>
      </w:r>
      <w:r>
        <w:rPr>
          <w:rFonts w:ascii="Times New Roman" w:hAnsi="Times New Roman" w:cs="Times New Roman"/>
          <w:sz w:val="24"/>
          <w:szCs w:val="24"/>
        </w:rPr>
        <w:t xml:space="preserve">Сікевича</w:t>
      </w:r>
      <w:r>
        <w:rPr>
          <w:rFonts w:ascii="Times New Roman" w:hAnsi="Times New Roman" w:cs="Times New Roman"/>
          <w:sz w:val="24"/>
          <w:szCs w:val="24"/>
        </w:rPr>
        <w:t xml:space="preserve">, 28; категорія замовника – бюджетна неприбуткова установа. 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</w:r>
      <w:r/>
    </w:p>
    <w:p>
      <w:pPr>
        <w:pStyle w:val="686"/>
        <w:jc w:val="both"/>
        <w:spacing w:before="0" w:beforeAutospacing="0" w:after="0" w:afterAutospacing="0"/>
        <w:shd w:val="clear" w:color="auto" w:fill="ffffff" w:themeFill="background1"/>
        <w:rPr>
          <w:color w:val="585858"/>
          <w:sz w:val="28"/>
          <w:szCs w:val="28"/>
        </w:rPr>
      </w:pPr>
      <w:r>
        <w:rPr>
          <w:sz w:val="24"/>
          <w:szCs w:val="24"/>
        </w:rPr>
        <w:t xml:space="preserve">2</w:t>
      </w:r>
      <w:r>
        <w:rPr>
          <w:sz w:val="24"/>
          <w:szCs w:val="24"/>
        </w:rPr>
        <w:t xml:space="preserve">. Назва предм</w:t>
      </w:r>
      <w:r>
        <w:rPr>
          <w:sz w:val="24"/>
          <w:szCs w:val="24"/>
        </w:rPr>
        <w:t xml:space="preserve">ета закупівлі 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і частин предмета закупівлі (лотів) (за наявності): </w:t>
      </w:r>
      <w:r>
        <w:rPr>
          <w:b w:val="0"/>
          <w:bCs w:val="0"/>
          <w:sz w:val="24"/>
          <w:szCs w:val="24"/>
        </w:rPr>
        <w:t xml:space="preserve"> </w:t>
      </w:r>
      <w:r>
        <w:rPr>
          <w:b w:val="0"/>
          <w:bCs w:val="0"/>
          <w:sz w:val="24"/>
          <w:szCs w:val="24"/>
        </w:rPr>
        <w:t xml:space="preserve">Закупівля акумуляторного ручного бездротового </w:t>
      </w:r>
      <w:r>
        <w:rPr>
          <w:b w:val="0"/>
          <w:bCs w:val="0"/>
          <w:sz w:val="24"/>
          <w:szCs w:val="24"/>
        </w:rPr>
        <w:t xml:space="preserve">пилосмока</w:t>
      </w:r>
      <w:r>
        <w:rPr>
          <w:b w:val="0"/>
          <w:bCs w:val="0"/>
          <w:sz w:val="24"/>
          <w:szCs w:val="24"/>
        </w:rPr>
        <w:t xml:space="preserve"> за ДК 021:2015: 39710000-2 Електричні побутові прилади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3. Ідентифікатор закупівлі: — </w:t>
      </w:r>
      <w:r>
        <w:rPr>
          <w:rFonts w:ascii="Times New Roman" w:hAnsi="Times New Roman" w:cs="Times New Roman"/>
          <w:sz w:val="24"/>
          <w:szCs w:val="24"/>
        </w:rPr>
        <w:t xml:space="preserve">UA-2023-0</w:t>
      </w:r>
      <w:r>
        <w:rPr>
          <w:rFonts w:ascii="Times New Roman" w:hAnsi="Times New Roman" w:cs="Times New Roman"/>
          <w:sz w:val="24"/>
          <w:szCs w:val="24"/>
        </w:rPr>
        <w:t xml:space="preserve">7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2</w:t>
      </w:r>
      <w:r>
        <w:rPr>
          <w:rFonts w:ascii="Times New Roman" w:hAnsi="Times New Roman" w:cs="Times New Roman"/>
          <w:sz w:val="24"/>
          <w:szCs w:val="24"/>
        </w:rPr>
        <w:t xml:space="preserve">5</w:t>
      </w:r>
      <w:r>
        <w:rPr>
          <w:rFonts w:ascii="Times New Roman" w:hAnsi="Times New Roman" w:cs="Times New Roman"/>
          <w:sz w:val="24"/>
          <w:szCs w:val="24"/>
        </w:rPr>
        <w:t xml:space="preserve">-</w:t>
      </w:r>
      <w:r>
        <w:rPr>
          <w:rFonts w:ascii="Times New Roman" w:hAnsi="Times New Roman" w:cs="Times New Roman"/>
          <w:sz w:val="24"/>
          <w:szCs w:val="24"/>
        </w:rPr>
        <w:t xml:space="preserve">004924</w:t>
      </w:r>
      <w:r>
        <w:rPr>
          <w:rFonts w:ascii="Times New Roman" w:hAnsi="Times New Roman" w:cs="Times New Roman"/>
          <w:sz w:val="24"/>
          <w:szCs w:val="24"/>
        </w:rPr>
        <w:t xml:space="preserve">-а</w:t>
      </w:r>
      <w:r/>
    </w:p>
    <w:p>
      <w:pPr>
        <w:jc w:val="both"/>
        <w:spacing w:after="0" w:line="240" w:lineRule="auto"/>
        <w:widowControl w:val="off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4. Обґрунтування технічних та якісних </w:t>
      </w:r>
      <w:r>
        <w:rPr>
          <w:rFonts w:ascii="Times New Roman" w:hAnsi="Times New Roman" w:eastAsia="Times New Roman" w:cs="Times New Roman"/>
          <w:b/>
          <w:sz w:val="24"/>
          <w:lang w:eastAsia="ru-RU"/>
        </w:rPr>
        <w:t xml:space="preserve">характеристик предмета закупівлі</w:t>
      </w:r>
      <w:r>
        <w:rPr>
          <w:rFonts w:ascii="Times New Roman" w:hAnsi="Times New Roman" w:eastAsia="Times New Roman" w:cs="Times New Roman"/>
          <w:bCs/>
          <w:sz w:val="24"/>
          <w:lang w:eastAsia="ru-RU"/>
        </w:rPr>
        <w:t xml:space="preserve">:  </w:t>
      </w:r>
      <w:r>
        <w:rPr>
          <w:rFonts w:ascii="Times New Roman" w:hAnsi="Times New Roman" w:cs="Times New Roman"/>
          <w:sz w:val="24"/>
          <w:szCs w:val="24"/>
        </w:rPr>
        <w:t xml:space="preserve">Закупівля акумуляторного ручного бездротового </w:t>
      </w:r>
      <w:r>
        <w:rPr>
          <w:rFonts w:ascii="Times New Roman" w:hAnsi="Times New Roman" w:cs="Times New Roman"/>
          <w:sz w:val="24"/>
          <w:szCs w:val="24"/>
        </w:rPr>
        <w:t xml:space="preserve">пилосмока</w:t>
      </w:r>
      <w:r>
        <w:rPr>
          <w:rFonts w:ascii="Times New Roman" w:hAnsi="Times New Roman" w:cs="Times New Roman"/>
          <w:sz w:val="24"/>
          <w:szCs w:val="24"/>
        </w:rPr>
        <w:br/>
      </w:r>
      <w:r/>
    </w:p>
    <w:p>
      <w:pPr>
        <w:jc w:val="both"/>
        <w:spacing w:after="0" w:line="240" w:lineRule="auto"/>
        <w:rPr>
          <w:rFonts w:ascii="Times New Roman" w:hAnsi="Times New Roman" w:eastAsia="Calibri" w:cs="Times New Roman"/>
          <w:sz w:val="24"/>
          <w:szCs w:val="24"/>
          <w:u w:val="single"/>
        </w:rPr>
      </w:pPr>
      <w:r>
        <w:rPr>
          <w:rFonts w:ascii="Times New Roman" w:hAnsi="Times New Roman" w:eastAsia="Calibri" w:cs="Times New Roman"/>
          <w:sz w:val="24"/>
          <w:szCs w:val="24"/>
          <w:u w:val="single"/>
        </w:rPr>
      </w:r>
      <w:r/>
    </w:p>
    <w:p>
      <w:pPr>
        <w:ind w:firstLine="357"/>
        <w:jc w:val="center"/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ТЕХНІЧНІ ВИМОГИ</w:t>
      </w:r>
      <w:r/>
    </w:p>
    <w:tbl>
      <w:tblPr>
        <w:tblStyle w:val="692"/>
        <w:tblW w:w="9634" w:type="dxa"/>
        <w:tblLook w:val="04A0" w:firstRow="1" w:lastRow="0" w:firstColumn="1" w:lastColumn="0" w:noHBand="0" w:noVBand="1"/>
      </w:tblPr>
      <w:tblGrid>
        <w:gridCol w:w="562"/>
        <w:gridCol w:w="5670"/>
        <w:gridCol w:w="1701"/>
        <w:gridCol w:w="1701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  <w:lang w:val="ru-RU"/>
              </w:rPr>
            </w:pPr>
            <w:r>
              <w:rPr>
                <w:b/>
                <w:bCs/>
              </w:rPr>
              <w:t xml:space="preserve">№ п/п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Назва системи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Одиниця 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textDirection w:val="lrTb"/>
            <w:noWrap w:val="false"/>
          </w:tcPr>
          <w:p>
            <w:pPr>
              <w:pStyle w:val="69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Кількість</w:t>
            </w:r>
            <w:r/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2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670" w:type="dxa"/>
            <w:textDirection w:val="lrTb"/>
            <w:noWrap w:val="false"/>
          </w:tcPr>
          <w:p>
            <w:pPr>
              <w:pStyle w:val="694"/>
              <w:rPr>
                <w:b/>
                <w:bCs/>
              </w:rPr>
            </w:pPr>
            <w:r>
              <w:rPr>
                <w:rStyle w:val="713"/>
                <w:rFonts w:ascii="Times New Roman" w:hAnsi="Times New Roman" w:cs="Times New Roman" w:eastAsiaTheme="minorHAnsi"/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718"/>
                <w:b/>
                <w:bCs/>
                <w:color w:val="000000"/>
                <w:shd w:val="clear" w:color="auto" w:fill="ffffff"/>
              </w:rPr>
              <w:t xml:space="preserve">Акумуляторний ручний бездротовий пилосмок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</w:pPr>
            <w: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701" w:type="dxa"/>
            <w:vAlign w:val="center"/>
            <w:textDirection w:val="lrTb"/>
            <w:noWrap w:val="false"/>
          </w:tcPr>
          <w:p>
            <w:pPr>
              <w:pStyle w:val="694"/>
              <w:jc w:val="center"/>
            </w:pPr>
            <w:r>
              <w:t xml:space="preserve">3</w:t>
            </w:r>
            <w:r/>
          </w:p>
        </w:tc>
      </w:tr>
    </w:tbl>
    <w:p>
      <w:pPr>
        <w:pStyle w:val="694"/>
        <w:jc w:val="both"/>
        <w:spacing w:line="240" w:lineRule="auto"/>
        <w:rPr>
          <w:rFonts w:eastAsia="Times New Roman"/>
          <w:b/>
          <w:bCs/>
          <w:i/>
          <w:iCs/>
          <w:lang w:eastAsia="ru-RU"/>
        </w:rPr>
      </w:pPr>
      <w:r>
        <w:rPr>
          <w:rFonts w:eastAsia="Times New Roman"/>
          <w:b/>
          <w:bCs/>
          <w:i/>
          <w:iCs/>
          <w:lang w:eastAsia="ru-RU"/>
        </w:rPr>
      </w:r>
      <w:r/>
    </w:p>
    <w:p>
      <w:pPr>
        <w:jc w:val="both"/>
        <w:spacing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У ціну мають бути включені прямі, загальновиробничі та адміністративні витрати з урахуванням витрат, у тому ч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ислі, але не виключно: транспортні витрати, доплати працівникам у зв’язку з втратою часу в дорозі, зв’язок, страхування, спецзасоби, а також економічно обґрунтований прибуток, який Постачальник планує отримати в результаті продажу, кошти на покриття ризикі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в та/або додаткових витрат, пов’язаних з інфляційними процесами, усі податки і збори, обов’язкові платежі, що сплачуються або мають бути сплачені Постачальником для поставки Товару, зокрема податок на додану вартість, інші витрати, необхідні для виконання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проєкту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Договору до моменту його повного завершення.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Характеристики товару повинні відповідати вимогам або бути кращими тих, які наведені в таблиці.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 Пропо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зиція Учасника має містити чітке зазначення виробника, моделі та артикулу для можливості перевірки запропонованого товару технічним вимогам Замовника. У разі відсутності зазначених вимог, Замовник залишає право відхилити пропозицію запропонованого товару. 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1. Товар повинен бути новим, з повною комплектацією. З товаром поставляються технічний паспорт чи інструкція з експлуатації українською мовою</w:t>
      </w:r>
      <w:r>
        <w:rPr>
          <w:rFonts w:ascii="Times New Roman" w:hAnsi="Times New Roman" w:cs="Times New Roman"/>
          <w:sz w:val="24"/>
          <w:szCs w:val="24"/>
          <w:lang w:eastAsia="uk-UA"/>
        </w:rPr>
        <w:t xml:space="preserve">, гарантійні талони, набір драйверів тощо,  передбачених для товару. Упаковка, в якій постачається товар, повинна відповідати загальноприйнятим стандартам та технічним умовам, забезпечувати зберігання товару, та/або його неушкодженість при транспортуванні.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2. Технічні та якісні характеристики повинні відповідати вимогам та стандартам відповідних діючих нормативних документів.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3. Доставка товару здійснюється за рахунок та силами Постачальника, у терміни попередньо узгоджені, і визначається в кожному випадку замовленням Замовника.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4. Приймання товарів проводиться при наявності товаро супроводжуючих документів, видаткової накладної та копії документів, що підтверджують якість товарів.</w:t>
      </w:r>
      <w:r/>
    </w:p>
    <w:p>
      <w:pPr>
        <w:jc w:val="both"/>
        <w:spacing w:line="240" w:lineRule="auto"/>
        <w:rPr>
          <w:rFonts w:ascii="Times New Roman" w:hAnsi="Times New Roman" w:cs="Times New Roman"/>
          <w:sz w:val="24"/>
          <w:szCs w:val="24"/>
          <w:lang w:eastAsia="uk-UA"/>
        </w:rPr>
      </w:pPr>
      <w:r>
        <w:rPr>
          <w:rFonts w:ascii="Times New Roman" w:hAnsi="Times New Roman" w:cs="Times New Roman"/>
          <w:sz w:val="24"/>
          <w:szCs w:val="24"/>
          <w:lang w:eastAsia="uk-UA"/>
        </w:rPr>
        <w:t xml:space="preserve">5. Гарантія на товар повинна бути не менше гарантії виробника та складати не менше 12 (дванадцять) місяців (надати гарантійний лист)</w:t>
      </w:r>
      <w:r/>
    </w:p>
    <w:p>
      <w:pPr>
        <w:ind w:left="14" w:firstLine="538"/>
        <w:jc w:val="both"/>
        <w:spacing w:line="240" w:lineRule="auto"/>
        <w:rPr>
          <w:rFonts w:ascii="Times New Roman" w:hAnsi="Times New Roman" w:cs="Times New Roman"/>
          <w:sz w:val="24"/>
          <w:szCs w:val="24"/>
          <w:lang w:val="ru-RU"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  <w:t xml:space="preserve">У разі, якщо характеристики товару, що пропонується Учасником до постачання, відрізняються від характеристик, які вимагаються Замовником, такий учасник у складі тендерної пропозиції надає таблицю відповідності за нижченаведеною формою.</w:t>
      </w:r>
      <w:r/>
    </w:p>
    <w:p>
      <w:pPr>
        <w:contextualSpacing/>
        <w:ind w:left="14" w:firstLine="538"/>
        <w:jc w:val="center"/>
        <w:spacing w:line="240" w:lineRule="auto"/>
        <w:rPr>
          <w:rFonts w:ascii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ar-SA"/>
        </w:rPr>
        <w:t xml:space="preserve">Таблиця відповідності</w:t>
      </w:r>
      <w:r/>
    </w:p>
    <w:p>
      <w:pPr>
        <w:spacing w:line="240" w:lineRule="auto"/>
        <w:rPr>
          <w:rFonts w:ascii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  <w:lang w:eastAsia="ar-SA"/>
        </w:rPr>
      </w:r>
      <w:r/>
    </w:p>
    <w:tbl>
      <w:tblPr>
        <w:tblpPr w:horzAnchor="margin" w:tblpXSpec="left" w:vertAnchor="text" w:tblpY="-62" w:leftFromText="180" w:topFromText="0" w:rightFromText="180" w:bottomFromText="160"/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97"/>
        <w:gridCol w:w="2928"/>
        <w:gridCol w:w="3163"/>
        <w:gridCol w:w="2943"/>
      </w:tblGrid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№ 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00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Характеристика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396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визначені Замовником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115" w:type="dxa"/>
            <w:vAlign w:val="center"/>
            <w:textDirection w:val="lrTb"/>
            <w:noWrap w:val="false"/>
          </w:tcPr>
          <w:p>
            <w:pPr>
              <w:contextualSpacing/>
              <w:ind w:left="14" w:firstLine="538"/>
              <w:jc w:val="center"/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eastAsia="ar-SA"/>
              </w:rPr>
              <w:t xml:space="preserve">Опис технічних вимог, які  пропонуються Учасником</w:t>
            </w:r>
            <w:r/>
          </w:p>
        </w:tc>
      </w:tr>
    </w:tbl>
    <w:p>
      <w:pPr>
        <w:ind w:firstLine="263"/>
        <w:jc w:val="both"/>
        <w:spacing w:line="240" w:lineRule="auto"/>
        <w:rPr>
          <w:rFonts w:ascii="Times New Roman" w:hAnsi="Times New Roman" w:eastAsia="Times New Roman" w:cs="Times New Roman"/>
          <w:bCs/>
          <w:iCs/>
          <w:sz w:val="24"/>
          <w:szCs w:val="24"/>
          <w:lang w:val="ru-RU" w:eastAsia="ru-RU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Товар повинен відповідати вимогам: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Закону України від 14.08.2014р. № 1644-VІІ «Про санкції»,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Указу Президента України від 15.05.2017р. № 133/2017 «Про рішення Ради національної безпеки і оборони України від 28 квітня 2017 року «Про застосування персональних спеціальних економічних та інших обмежувальних заходів (санкцій)»,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Постанови КМУ від 16.12.2015р. № 1035 «Про обмеження поставок окремих товарів(робіт, послуг) з тимчасово окупованої території на іншу територію України та/або з іншої території України на тимчасово окуповану територію»,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- п/п. 4 п.2 частини першої Розпорядження Кабінету Міністрів України від 11.09.2014 р. №829-р «Про пропозиції щодо застосування персональних спеціальних економічних та інших обмежувальних заходів», згідно з якими заборонено здійснення державних 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закупівель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товарів, робіт і послуг у юридичних осіб - резидентів Російської Федерації державної форми власності та юридичних осіб, частка статутного капіталу яких перебуває у власності Російської Федерації, а та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кож у інших суб’єктів господарювання, що здійснюють продаж товарів, робіт і послуг походженням з Російської Федерації, крім випадків, коли заміщення таких предметів закупівлі іншими неможливе, що підтверджено Міністерством економічного розвитку і торгівлі.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У разі якщо товар не відповідає технічним вимогам Замовника або Учасник не в змозі виконати умови поставки, які визначені Замовником, Пропозиція відхиляється.</w:t>
      </w:r>
      <w:r/>
    </w:p>
    <w:p>
      <w:pPr>
        <w:pStyle w:val="690"/>
        <w:ind w:left="0" w:firstLine="567"/>
        <w:jc w:val="center"/>
        <w:spacing w:line="24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val="uk-UA"/>
        </w:rPr>
      </w:r>
      <w:r/>
    </w:p>
    <w:p>
      <w:pPr>
        <w:pStyle w:val="69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  <w:t xml:space="preserve">СПЕЦИФІКАЦІЯ:</w:t>
      </w:r>
      <w:r/>
    </w:p>
    <w:p>
      <w:pPr>
        <w:pStyle w:val="690"/>
        <w:ind w:left="0" w:firstLine="567"/>
        <w:jc w:val="center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uk-UA"/>
        </w:rPr>
      </w:r>
      <w:r/>
    </w:p>
    <w:tbl>
      <w:tblPr>
        <w:tblW w:w="96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529"/>
        <w:gridCol w:w="7011"/>
        <w:gridCol w:w="917"/>
        <w:gridCol w:w="1177"/>
      </w:tblGrid>
      <w:tr>
        <w:trPr>
          <w:trHeight w:val="768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pPr>
              <w:pStyle w:val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№</w:t>
            </w:r>
            <w:r/>
          </w:p>
          <w:p>
            <w:pPr>
              <w:pStyle w:val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з/п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1" w:type="dxa"/>
            <w:textDirection w:val="lrTb"/>
            <w:noWrap w:val="false"/>
          </w:tcPr>
          <w:p>
            <w:pPr>
              <w:pStyle w:val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Найменування обладнання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dxa"/>
            <w:textDirection w:val="lrTb"/>
            <w:noWrap w:val="false"/>
          </w:tcPr>
          <w:p>
            <w:pPr>
              <w:pStyle w:val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Од.</w:t>
            </w:r>
            <w:r/>
          </w:p>
          <w:p>
            <w:pPr>
              <w:pStyle w:val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виміру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7" w:type="dxa"/>
            <w:textDirection w:val="lrTb"/>
            <w:noWrap w:val="false"/>
          </w:tcPr>
          <w:p>
            <w:pPr>
              <w:pStyle w:val="71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Кількість</w:t>
            </w:r>
            <w:r/>
          </w:p>
        </w:tc>
      </w:tr>
      <w:tr>
        <w:trPr>
          <w:trHeight w:val="409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29" w:type="dxa"/>
            <w:textDirection w:val="lrTb"/>
            <w:noWrap w:val="false"/>
          </w:tcPr>
          <w:p>
            <w:pPr>
              <w:pStyle w:val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1)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7011" w:type="dxa"/>
            <w:textDirection w:val="lrTb"/>
            <w:noWrap w:val="false"/>
          </w:tcPr>
          <w:p>
            <w:pPr>
              <w:pStyle w:val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Style w:val="718"/>
                <w:rFonts w:ascii="Times New Roman" w:hAnsi="Times New Roman"/>
                <w:b/>
                <w:bCs/>
                <w:sz w:val="24"/>
                <w:szCs w:val="24"/>
                <w:shd w:val="clear" w:color="auto" w:fill="ffffff"/>
              </w:rPr>
              <w:t xml:space="preserve">Акумуляторний ручний бездротовий пилосмок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17" w:type="dxa"/>
            <w:textDirection w:val="lrTb"/>
            <w:noWrap w:val="false"/>
          </w:tcPr>
          <w:p>
            <w:pPr>
              <w:pStyle w:val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шт.</w:t>
            </w:r>
            <w:r/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77" w:type="dxa"/>
            <w:textDirection w:val="lrTb"/>
            <w:noWrap w:val="false"/>
          </w:tcPr>
          <w:p>
            <w:pPr>
              <w:pStyle w:val="710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3</w:t>
            </w:r>
            <w:r/>
          </w:p>
        </w:tc>
      </w:tr>
      <w:tr>
        <w:trPr>
          <w:trHeight w:val="1266"/>
        </w:trPr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9634" w:type="dxa"/>
            <w:textDirection w:val="lrTb"/>
            <w:noWrap w:val="false"/>
          </w:tcPr>
          <w:p>
            <w:pPr>
              <w:spacing w:after="0" w:line="240" w:lineRule="auto"/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Тип: </w:t>
            </w:r>
            <w:hyperlink r:id="rId11" w:tooltip="https://www.foxtrot.com.ua/uk/shop/pylesosy_ruchnoj.html" w:history="1">
              <w:r>
                <w:rPr>
                  <w:rStyle w:val="69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ручний;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 </w:t>
            </w:r>
            <w:hyperlink r:id="rId12" w:tooltip="https://www.foxtrot.com.ua/uk/shop/pylesosy_akkumulyatorniy.html" w:history="1">
              <w:r>
                <w:rPr>
                  <w:rStyle w:val="69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акумуляторний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Тип прибирання: </w:t>
            </w:r>
            <w:hyperlink r:id="rId13" w:tooltip="https://www.foxtrot.com.ua/uk/shop/pylesosy_dlya-sukhoy-uborki.html" w:history="1">
              <w:r>
                <w:rPr>
                  <w:rStyle w:val="699"/>
                  <w:rFonts w:ascii="Times New Roman" w:hAnsi="Times New Roman" w:cs="Times New Roman"/>
                  <w:color w:val="auto"/>
                  <w:sz w:val="24"/>
                  <w:szCs w:val="24"/>
                  <w:shd w:val="clear" w:color="auto" w:fill="ffffff"/>
                </w:rPr>
                <w:t xml:space="preserve">сухе</w:t>
              </w:r>
            </w:hyperlink>
            <w:r/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Потужність, що споживається: не менше 410 Вт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Потужність всмоктування: не менше 150 Вт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Місткість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пилозбірника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не менше 0.8 л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Насадки і щітки: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щілинна,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турбощітка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Особливості: вертикальна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парковка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, з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турборежимом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Автономна робота: не менше 40 хв.</w:t>
            </w:r>
            <w:r/>
          </w:p>
          <w:p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eastAsia="uk-UA"/>
              </w:rPr>
              <w:t xml:space="preserve">Тривалість заряджання: не більше 3,5 год</w:t>
            </w:r>
            <w:r/>
          </w:p>
          <w:p>
            <w:pPr>
              <w:pStyle w:val="717"/>
              <w:spacing w:before="0" w:beforeAutospacing="0" w:after="0" w:afterAutospacing="0"/>
              <w:rPr>
                <w:shd w:val="clear" w:color="auto" w:fill="ffffff"/>
                <w:lang w:eastAsia="en-US"/>
              </w:rPr>
            </w:pPr>
            <w:r>
              <w:rPr>
                <w:shd w:val="clear" w:color="auto" w:fill="ffffff"/>
                <w:lang w:eastAsia="en-US"/>
              </w:rPr>
              <w:t xml:space="preserve">Додаткові особливості: </w:t>
            </w:r>
            <w:r/>
          </w:p>
          <w:p>
            <w:pPr>
              <w:pStyle w:val="717"/>
              <w:spacing w:before="0" w:beforeAutospacing="0" w:after="0" w:afterAutospacing="0"/>
              <w:rPr>
                <w:lang w:eastAsia="en-US"/>
              </w:rPr>
            </w:pPr>
            <w:r>
              <w:rPr>
                <w:rStyle w:val="719"/>
                <w:lang w:eastAsia="en-US"/>
              </w:rPr>
              <w:t xml:space="preserve">Удосконалена технологія збирання</w:t>
            </w:r>
            <w:r>
              <w:rPr>
                <w:lang w:eastAsia="en-US"/>
              </w:rPr>
              <w:br/>
            </w:r>
            <w:r>
              <w:rPr>
                <w:rStyle w:val="719"/>
                <w:lang w:eastAsia="en-US"/>
              </w:rPr>
              <w:t xml:space="preserve">Інверторний</w:t>
            </w:r>
            <w:r>
              <w:rPr>
                <w:rStyle w:val="719"/>
                <w:lang w:eastAsia="en-US"/>
              </w:rPr>
              <w:t xml:space="preserve"> мотор</w:t>
            </w:r>
            <w:r>
              <w:rPr>
                <w:lang w:eastAsia="en-US"/>
              </w:rPr>
              <w:br/>
            </w:r>
            <w:r>
              <w:rPr>
                <w:rStyle w:val="719"/>
                <w:lang w:eastAsia="en-US"/>
              </w:rPr>
              <w:t xml:space="preserve">Циклонний фільтр </w:t>
            </w:r>
            <w:r>
              <w:rPr>
                <w:rStyle w:val="719"/>
                <w:lang w:eastAsia="en-US"/>
              </w:rPr>
              <w:t xml:space="preserve">Jet</w:t>
            </w:r>
            <w:r>
              <w:rPr>
                <w:rStyle w:val="719"/>
                <w:lang w:eastAsia="en-US"/>
              </w:rPr>
              <w:t xml:space="preserve"> </w:t>
            </w:r>
            <w:r>
              <w:rPr>
                <w:rStyle w:val="719"/>
                <w:lang w:eastAsia="en-US"/>
              </w:rPr>
              <w:t xml:space="preserve">Cyclone</w:t>
            </w:r>
            <w:r>
              <w:rPr>
                <w:lang w:eastAsia="en-US"/>
              </w:rPr>
              <w:br/>
            </w:r>
            <w:r>
              <w:rPr>
                <w:rStyle w:val="719"/>
                <w:lang w:eastAsia="en-US"/>
              </w:rPr>
              <w:t xml:space="preserve">Насадка </w:t>
            </w:r>
            <w:r>
              <w:rPr>
                <w:rStyle w:val="719"/>
                <w:lang w:eastAsia="en-US"/>
              </w:rPr>
              <w:t xml:space="preserve">Turbo</w:t>
            </w:r>
            <w:r>
              <w:rPr>
                <w:rStyle w:val="719"/>
                <w:lang w:eastAsia="en-US"/>
              </w:rPr>
              <w:t xml:space="preserve"> </w:t>
            </w:r>
            <w:r>
              <w:rPr>
                <w:rStyle w:val="719"/>
                <w:lang w:eastAsia="en-US"/>
              </w:rPr>
              <w:t xml:space="preserve">action</w:t>
            </w:r>
            <w:r>
              <w:rPr>
                <w:rStyle w:val="719"/>
                <w:lang w:eastAsia="en-US"/>
              </w:rPr>
              <w:t xml:space="preserve"> </w:t>
            </w:r>
            <w:r>
              <w:rPr>
                <w:rStyle w:val="719"/>
                <w:lang w:eastAsia="en-US"/>
              </w:rPr>
              <w:t xml:space="preserve">brush</w:t>
            </w:r>
            <w:r>
              <w:rPr>
                <w:lang w:eastAsia="en-US"/>
              </w:rPr>
              <w:br/>
            </w:r>
            <w:r>
              <w:rPr>
                <w:rStyle w:val="719"/>
                <w:lang w:eastAsia="en-US"/>
              </w:rPr>
              <w:t xml:space="preserve">5-ступенева система фільтрації HEPA</w:t>
            </w:r>
            <w:r>
              <w:rPr>
                <w:lang w:eastAsia="en-US"/>
              </w:rPr>
              <w:br/>
            </w:r>
            <w:r>
              <w:rPr>
                <w:rStyle w:val="719"/>
                <w:lang w:eastAsia="en-US"/>
              </w:rPr>
              <w:t xml:space="preserve">Довговічний змінний акумулятор</w:t>
            </w:r>
            <w:r>
              <w:rPr>
                <w:lang w:eastAsia="en-US"/>
              </w:rPr>
              <w:br/>
            </w:r>
            <w:r>
              <w:rPr>
                <w:rStyle w:val="719"/>
                <w:lang w:eastAsia="en-US"/>
              </w:rPr>
              <w:t xml:space="preserve">Цифровий дисплей</w:t>
            </w:r>
            <w:r>
              <w:rPr>
                <w:lang w:eastAsia="en-US"/>
              </w:rPr>
              <w:br/>
            </w:r>
            <w:r>
              <w:rPr>
                <w:rStyle w:val="719"/>
                <w:lang w:eastAsia="en-US"/>
              </w:rPr>
              <w:t xml:space="preserve">Зарядна станція 2-в-1</w:t>
            </w:r>
            <w:r>
              <w:rPr>
                <w:lang w:eastAsia="en-US"/>
              </w:rPr>
              <w:br/>
            </w:r>
            <w:r>
              <w:rPr>
                <w:rStyle w:val="719"/>
                <w:lang w:eastAsia="en-US"/>
              </w:rPr>
              <w:t xml:space="preserve">Контейнер, який повністю миється</w:t>
            </w:r>
            <w:r>
              <w:rPr>
                <w:lang w:eastAsia="en-US"/>
              </w:rPr>
              <w:br/>
            </w:r>
            <w:r>
              <w:rPr>
                <w:rStyle w:val="719"/>
                <w:lang w:eastAsia="en-US"/>
              </w:rPr>
              <w:t xml:space="preserve">Щітка </w:t>
            </w:r>
            <w:r>
              <w:rPr>
                <w:rStyle w:val="719"/>
                <w:lang w:eastAsia="en-US"/>
              </w:rPr>
              <w:t xml:space="preserve">Soft</w:t>
            </w:r>
            <w:r>
              <w:rPr>
                <w:rStyle w:val="719"/>
                <w:lang w:eastAsia="en-US"/>
              </w:rPr>
              <w:t xml:space="preserve"> </w:t>
            </w:r>
            <w:r>
              <w:rPr>
                <w:rStyle w:val="719"/>
                <w:lang w:eastAsia="en-US"/>
              </w:rPr>
              <w:t xml:space="preserve">Action</w:t>
            </w:r>
            <w:r/>
          </w:p>
        </w:tc>
      </w:tr>
    </w:tbl>
    <w:p>
      <w:pPr>
        <w:ind w:firstLine="567"/>
        <w:jc w:val="both"/>
        <w:spacing w:line="240" w:lineRule="auto"/>
        <w:tabs>
          <w:tab w:val="left" w:pos="-2268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У разі, якщо у цій тендерній документації (у тому числі у технічній специфікації) міститься посилання:</w:t>
      </w:r>
      <w:r/>
    </w:p>
    <w:p>
      <w:pPr>
        <w:ind w:firstLine="263"/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стандартні характеристики, технічні регламенти та умови, вимоги, умовні позначення та термінологію, пов’язані з товарами, роботами чи послугами, що закуповуються, передбачені існуючими міжнародними, європейським</w:t>
      </w:r>
      <w:r>
        <w:rPr>
          <w:rFonts w:ascii="Times New Roman" w:hAnsi="Times New Roman" w:cs="Times New Roman"/>
          <w:i/>
          <w:sz w:val="24"/>
          <w:szCs w:val="24"/>
        </w:rPr>
        <w:t xml:space="preserve">и стандартами, іншими спільними технічними європейськими нормами, іншими технічними еталонними системами, визнаними європейськими органами зі стандартизації або національними стандартами, нормами та правилами – вважати, що міститься вираз «або еквівалент»;</w:t>
      </w:r>
      <w:r/>
    </w:p>
    <w:p>
      <w:pPr>
        <w:jc w:val="both"/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- на ко</w:t>
      </w:r>
      <w:r>
        <w:rPr>
          <w:rFonts w:ascii="Times New Roman" w:hAnsi="Times New Roman" w:cs="Times New Roman"/>
          <w:i/>
          <w:sz w:val="24"/>
          <w:szCs w:val="24"/>
        </w:rPr>
        <w:t xml:space="preserve">нкретні марку чи виробника або на конкретний процес, що характеризує продукт чи послугу певного суб’єкта господарювання, чи на торгові марки, патенти, типи або конкретне місце походження чи спосіб виробництва – вважати, що міститься вираз «або еквівалент».</w:t>
      </w:r>
      <w:r/>
    </w:p>
    <w:p>
      <w:pPr>
        <w:ind w:firstLine="567"/>
        <w:jc w:val="both"/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У випадку надання учасником еквіваленту він має надати порівняльну таблицю запропонованих товарів з товарами, які вимагаються Замовником. Якщо Учасник пропонує товар, технічні характеристики якого відрізняються від наведених вище, він повинен </w:t>
      </w:r>
      <w:r>
        <w:rPr>
          <w:rFonts w:ascii="Times New Roman" w:hAnsi="Times New Roman" w:cs="Times New Roman"/>
          <w:bCs/>
          <w:i/>
          <w:iCs/>
          <w:sz w:val="24"/>
          <w:szCs w:val="24"/>
        </w:rPr>
        <w:t xml:space="preserve">обов’язково надати порівняльну таблицю щодо відповідності технічних характеристик запропонованого товару наведеним Замовником характеристикам. Товар має бути з технічними та якісними характеристиками рівноцінними, або покращеними, ніж визначені Замовником.</w:t>
      </w:r>
      <w:r/>
    </w:p>
    <w:p>
      <w:pPr>
        <w:contextualSpacing/>
        <w:jc w:val="both"/>
        <w:shd w:val="clear" w:color="auto" w:fill="ffffff"/>
        <w:rPr>
          <w:sz w:val="24"/>
          <w:szCs w:val="24"/>
        </w:rPr>
      </w:pPr>
      <w:r>
        <w:rPr>
          <w:sz w:val="24"/>
          <w:szCs w:val="24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5. Обґрунтування розміру бюджетного призначення: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розмір бюджетного призначення визначено Законом України «Про Державний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бюджет України на 2023 рік» за КПКВК 1001050 «Реалізація державної політики у сфері внутрішніх справ, забезпечення виконання завдань і функцій органів, установ та закладів Міністерства внутрішніх справ України» відповідно до бюджетного запиту на 2023 рік.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6. Очікувана вартість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40 497,00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грн. (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сорок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тисяч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чотириста дев’яносто сім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грив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е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00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коп.) з ПДВ. 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7. Обґрунтування </w:t>
      </w: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очікуваної вартості предмета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Очікувана вартість визначена відповідно до частини 1 та 2 пункту 1 Розділу ІІІ «Методи визначення очікуваної вартості» Примірної методики визначення очікува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ної вартості предмета закупівлі затвердженої Наказом Міністерства розвитку економіки, торгівлі та сільського господарства України 18.02.2020 № 275 та розрахована, як середньоарифметичне значення масиву отриманих даних, що розраховується за такою формулою: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Цод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= (Ц1 +… +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Цк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) / К.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vertAlign w:val="superscript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  <w:t xml:space="preserve">8. Процедура закупівлі: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Застосовується процедура відкритих торгів з особливостями.</w:t>
      </w:r>
      <w:r/>
    </w:p>
    <w:p>
      <w:pPr>
        <w:ind w:right="-1"/>
        <w:jc w:val="both"/>
        <w:spacing w:after="0" w:line="240" w:lineRule="auto"/>
        <w:widowControl w:val="off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</w:r>
      <w:r/>
    </w:p>
    <w:sectPr>
      <w:footerReference w:type="default" r:id="rId9"/>
      <w:footnotePr/>
      <w:endnotePr/>
      <w:type w:val="nextPage"/>
      <w:pgSz w:w="11906" w:h="16838" w:orient="portrait"/>
      <w:pgMar w:top="709" w:right="851" w:bottom="851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309020205020404"/>
  </w:font>
  <w:font w:name="Symbol">
    <w:panose1 w:val="05010000000000000000"/>
  </w:font>
  <w:font w:name="Times New Roman1">
    <w:panose1 w:val="02020603050405020304"/>
  </w:font>
  <w:font w:name="Segoe UI">
    <w:panose1 w:val="020B0502040504020204"/>
  </w:font>
  <w:font w:name="Tms Rmn">
    <w:panose1 w:val="020B0603030804020204"/>
  </w:font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206030504050203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6"/>
      <w:rPr>
        <w:sz w:val="8"/>
      </w:rPr>
    </w:pPr>
    <w:r>
      <w:rPr>
        <w:sz w:val="8"/>
      </w:rPr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4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40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space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isLgl w:val="false"/>
      <w:suff w:val="space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080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1440" w:hanging="1440"/>
      </w:pPr>
      <w:rPr>
        <w:rFonts w:hint="default"/>
        <w:u w:val="none"/>
      </w:rPr>
    </w:lvl>
  </w:abstractNum>
  <w:abstractNum w:abstractNumId="6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21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9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6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3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0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8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5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2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5978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 w:val="false"/>
      <w:suff w:val="space"/>
      <w:lvlText w:val="%1.%2"/>
      <w:lvlJc w:val="left"/>
      <w:pPr>
        <w:ind w:left="705" w:hanging="36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55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100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805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150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3855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200" w:hanging="1440"/>
      </w:pPr>
      <w:rPr>
        <w:rFonts w:hint="default"/>
      </w:rPr>
    </w:lvl>
  </w:abstractNum>
  <w:abstractNum w:abstractNumId="9">
    <w:multiLevelType w:val="hybridMultilevel"/>
    <w:lvl w:ilvl="0">
      <w:start w:val="900"/>
      <w:numFmt w:val="bullet"/>
      <w:isLgl w:val="false"/>
      <w:suff w:val="tab"/>
      <w:lvlText w:val="-"/>
      <w:lvlJc w:val="left"/>
      <w:pPr>
        <w:ind w:left="644" w:hanging="360"/>
      </w:pPr>
      <w:rPr>
        <w:rFonts w:hint="default" w:ascii="Times New Roman" w:hAnsi="Times New Roman" w:eastAsia="Times New Roman" w:cs="Times New Roman"/>
      </w:rPr>
    </w:lvl>
    <w:lvl w:ilvl="1">
      <w:start w:val="1"/>
      <w:numFmt w:val="bullet"/>
      <w:isLgl w:val="false"/>
      <w:suff w:val="tab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04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4964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ascii="Times New Roman" w:hAnsi="Times New Roman" w:cs="Times New Roman"/>
        <w:b/>
        <w:sz w:val="28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space"/>
      <w:lvlText w:val="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>
    <w:multiLevelType w:val="hybridMultilevel"/>
    <w:lvl w:ilvl="0">
      <w:start w:val="1"/>
      <w:numFmt w:val="decimal"/>
      <w:isLgl w:val="false"/>
      <w:suff w:val="spa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isLgl w:val="false"/>
      <w:suff w:val="tab"/>
      <w:lvlText w:val="%1.%2."/>
      <w:lvlJc w:val="left"/>
      <w:pPr>
        <w:ind w:left="716" w:hanging="360"/>
      </w:pPr>
      <w:rPr>
        <w:rFonts w:hint="default"/>
        <w:u w:val="none"/>
      </w:rPr>
    </w:lvl>
    <w:lvl w:ilvl="2">
      <w:start w:val="1"/>
      <w:numFmt w:val="decimal"/>
      <w:isLgl w:val="false"/>
      <w:suff w:val="tab"/>
      <w:lvlText w:val="%1.%2.%3."/>
      <w:lvlJc w:val="left"/>
      <w:pPr>
        <w:ind w:left="1432" w:hanging="720"/>
      </w:pPr>
      <w:rPr>
        <w:rFonts w:hint="default"/>
        <w:u w:val="none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788" w:hanging="720"/>
      </w:pPr>
      <w:rPr>
        <w:rFonts w:hint="default"/>
        <w:u w:val="none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2504" w:hanging="1080"/>
      </w:pPr>
      <w:rPr>
        <w:rFonts w:hint="default"/>
        <w:u w:val="none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2860" w:hanging="1080"/>
      </w:pPr>
      <w:rPr>
        <w:rFonts w:hint="default"/>
        <w:u w:val="none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3216" w:hanging="1080"/>
      </w:pPr>
      <w:rPr>
        <w:rFonts w:hint="default"/>
        <w:u w:val="none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3932" w:hanging="1440"/>
      </w:pPr>
      <w:rPr>
        <w:rFonts w:hint="default"/>
        <w:u w:val="none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4288" w:hanging="1440"/>
      </w:pPr>
      <w:rPr>
        <w:rFonts w:hint="default"/>
        <w:u w:val="none"/>
      </w:r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isLgl w:val="false"/>
      <w:suff w:val="tab"/>
      <w:lvlText w:val="%1.%2"/>
      <w:lvlJc w:val="left"/>
      <w:pPr>
        <w:ind w:left="583" w:hanging="405"/>
      </w:pPr>
      <w:rPr>
        <w:rFonts w:hint="default"/>
      </w:rPr>
    </w:lvl>
    <w:lvl w:ilvl="2">
      <w:start w:val="4"/>
      <w:numFmt w:val="decimal"/>
      <w:isLgl w:val="false"/>
      <w:suff w:val="space"/>
      <w:lvlText w:val="%1.%2.%3"/>
      <w:lvlJc w:val="left"/>
      <w:pPr>
        <w:ind w:left="1076" w:hanging="720"/>
      </w:pPr>
      <w:rPr>
        <w:rFonts w:hint="default"/>
        <w:i w:val="0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254" w:hanging="72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432" w:hanging="72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970" w:hanging="108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8" w:hanging="108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686" w:hanging="144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4" w:hanging="1440"/>
      </w:pPr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isLgl w:val="false"/>
      <w:suff w:val="tab"/>
      <w:lvlText w:val=""/>
      <w:lvlJc w:val="left"/>
      <w:pPr>
        <w:ind w:left="144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60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76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15"/>
  </w:num>
  <w:num w:numId="2">
    <w:abstractNumId w:val="11"/>
  </w:num>
  <w:num w:numId="3">
    <w:abstractNumId w:val="6"/>
  </w:num>
  <w:num w:numId="4">
    <w:abstractNumId w:val="13"/>
  </w:num>
  <w:num w:numId="5">
    <w:abstractNumId w:val="5"/>
  </w:num>
  <w:num w:numId="6">
    <w:abstractNumId w:val="16"/>
  </w:num>
  <w:num w:numId="7">
    <w:abstractNumId w:val="8"/>
  </w:num>
  <w:num w:numId="8">
    <w:abstractNumId w:val="18"/>
  </w:num>
  <w:num w:numId="9">
    <w:abstractNumId w:val="2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</w:num>
  <w:num w:numId="12">
    <w:abstractNumId w:val="7"/>
  </w:num>
  <w:num w:numId="13">
    <w:abstractNumId w:val="3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7"/>
  </w:num>
  <w:num w:numId="17">
    <w:abstractNumId w:val="1"/>
  </w:num>
  <w:num w:numId="18">
    <w:abstractNumId w:val="19"/>
  </w:num>
  <w:num w:numId="19">
    <w:abstractNumId w:val="14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2">
    <w:name w:val="Heading 1"/>
    <w:basedOn w:val="685"/>
    <w:next w:val="685"/>
    <w:link w:val="1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3">
    <w:name w:val="Heading 1 Char"/>
    <w:basedOn w:val="687"/>
    <w:link w:val="12"/>
    <w:uiPriority w:val="9"/>
    <w:rPr>
      <w:rFonts w:ascii="Arial" w:hAnsi="Arial" w:eastAsia="Arial" w:cs="Arial"/>
      <w:sz w:val="40"/>
      <w:szCs w:val="40"/>
    </w:rPr>
  </w:style>
  <w:style w:type="character" w:styleId="15">
    <w:name w:val="Heading 2 Char"/>
    <w:basedOn w:val="687"/>
    <w:link w:val="686"/>
    <w:uiPriority w:val="9"/>
    <w:rPr>
      <w:rFonts w:ascii="Arial" w:hAnsi="Arial" w:eastAsia="Arial" w:cs="Arial"/>
      <w:sz w:val="34"/>
    </w:rPr>
  </w:style>
  <w:style w:type="paragraph" w:styleId="16">
    <w:name w:val="Heading 3"/>
    <w:basedOn w:val="685"/>
    <w:next w:val="685"/>
    <w:link w:val="1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7">
    <w:name w:val="Heading 3 Char"/>
    <w:basedOn w:val="687"/>
    <w:link w:val="16"/>
    <w:uiPriority w:val="9"/>
    <w:rPr>
      <w:rFonts w:ascii="Arial" w:hAnsi="Arial" w:eastAsia="Arial" w:cs="Arial"/>
      <w:sz w:val="30"/>
      <w:szCs w:val="30"/>
    </w:rPr>
  </w:style>
  <w:style w:type="paragraph" w:styleId="18">
    <w:name w:val="Heading 4"/>
    <w:basedOn w:val="685"/>
    <w:next w:val="685"/>
    <w:link w:val="1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19">
    <w:name w:val="Heading 4 Char"/>
    <w:basedOn w:val="687"/>
    <w:link w:val="18"/>
    <w:uiPriority w:val="9"/>
    <w:rPr>
      <w:rFonts w:ascii="Arial" w:hAnsi="Arial" w:eastAsia="Arial" w:cs="Arial"/>
      <w:b/>
      <w:bCs/>
      <w:sz w:val="26"/>
      <w:szCs w:val="26"/>
    </w:rPr>
  </w:style>
  <w:style w:type="paragraph" w:styleId="20">
    <w:name w:val="Heading 5"/>
    <w:basedOn w:val="685"/>
    <w:next w:val="685"/>
    <w:link w:val="2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1">
    <w:name w:val="Heading 5 Char"/>
    <w:basedOn w:val="687"/>
    <w:link w:val="20"/>
    <w:uiPriority w:val="9"/>
    <w:rPr>
      <w:rFonts w:ascii="Arial" w:hAnsi="Arial" w:eastAsia="Arial" w:cs="Arial"/>
      <w:b/>
      <w:bCs/>
      <w:sz w:val="24"/>
      <w:szCs w:val="24"/>
    </w:rPr>
  </w:style>
  <w:style w:type="paragraph" w:styleId="22">
    <w:name w:val="Heading 6"/>
    <w:basedOn w:val="685"/>
    <w:next w:val="685"/>
    <w:link w:val="2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3">
    <w:name w:val="Heading 6 Char"/>
    <w:basedOn w:val="687"/>
    <w:link w:val="22"/>
    <w:uiPriority w:val="9"/>
    <w:rPr>
      <w:rFonts w:ascii="Arial" w:hAnsi="Arial" w:eastAsia="Arial" w:cs="Arial"/>
      <w:b/>
      <w:bCs/>
      <w:sz w:val="22"/>
      <w:szCs w:val="22"/>
    </w:rPr>
  </w:style>
  <w:style w:type="paragraph" w:styleId="24">
    <w:name w:val="Heading 7"/>
    <w:basedOn w:val="685"/>
    <w:next w:val="685"/>
    <w:link w:val="2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5">
    <w:name w:val="Heading 7 Char"/>
    <w:basedOn w:val="687"/>
    <w:link w:val="2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6">
    <w:name w:val="Heading 8"/>
    <w:basedOn w:val="685"/>
    <w:next w:val="685"/>
    <w:link w:val="2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7">
    <w:name w:val="Heading 8 Char"/>
    <w:basedOn w:val="687"/>
    <w:link w:val="26"/>
    <w:uiPriority w:val="9"/>
    <w:rPr>
      <w:rFonts w:ascii="Arial" w:hAnsi="Arial" w:eastAsia="Arial" w:cs="Arial"/>
      <w:i/>
      <w:iCs/>
      <w:sz w:val="22"/>
      <w:szCs w:val="22"/>
    </w:rPr>
  </w:style>
  <w:style w:type="paragraph" w:styleId="28">
    <w:name w:val="Heading 9"/>
    <w:basedOn w:val="685"/>
    <w:next w:val="685"/>
    <w:link w:val="2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29">
    <w:name w:val="Heading 9 Char"/>
    <w:basedOn w:val="687"/>
    <w:link w:val="28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Title"/>
    <w:basedOn w:val="685"/>
    <w:next w:val="685"/>
    <w:link w:val="3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4">
    <w:name w:val="Title Char"/>
    <w:basedOn w:val="687"/>
    <w:link w:val="33"/>
    <w:uiPriority w:val="10"/>
    <w:rPr>
      <w:sz w:val="48"/>
      <w:szCs w:val="48"/>
    </w:rPr>
  </w:style>
  <w:style w:type="paragraph" w:styleId="35">
    <w:name w:val="Subtitle"/>
    <w:basedOn w:val="685"/>
    <w:next w:val="685"/>
    <w:link w:val="36"/>
    <w:uiPriority w:val="11"/>
    <w:qFormat/>
    <w:pPr>
      <w:spacing w:before="200" w:after="200"/>
    </w:pPr>
    <w:rPr>
      <w:sz w:val="24"/>
      <w:szCs w:val="24"/>
    </w:rPr>
  </w:style>
  <w:style w:type="character" w:styleId="36">
    <w:name w:val="Subtitle Char"/>
    <w:basedOn w:val="687"/>
    <w:link w:val="35"/>
    <w:uiPriority w:val="11"/>
    <w:rPr>
      <w:sz w:val="24"/>
      <w:szCs w:val="24"/>
    </w:rPr>
  </w:style>
  <w:style w:type="paragraph" w:styleId="37">
    <w:name w:val="Quote"/>
    <w:basedOn w:val="685"/>
    <w:next w:val="685"/>
    <w:link w:val="38"/>
    <w:uiPriority w:val="29"/>
    <w:qFormat/>
    <w:pPr>
      <w:ind w:left="720" w:right="720"/>
    </w:pPr>
    <w:rPr>
      <w:i/>
    </w:rPr>
  </w:style>
  <w:style w:type="character" w:styleId="38">
    <w:name w:val="Quote Char"/>
    <w:link w:val="37"/>
    <w:uiPriority w:val="29"/>
    <w:rPr>
      <w:i/>
    </w:rPr>
  </w:style>
  <w:style w:type="paragraph" w:styleId="39">
    <w:name w:val="Intense Quote"/>
    <w:basedOn w:val="685"/>
    <w:next w:val="685"/>
    <w:link w:val="4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0">
    <w:name w:val="Intense Quote Char"/>
    <w:link w:val="39"/>
    <w:uiPriority w:val="30"/>
    <w:rPr>
      <w:i/>
    </w:rPr>
  </w:style>
  <w:style w:type="paragraph" w:styleId="41">
    <w:name w:val="Header"/>
    <w:basedOn w:val="685"/>
    <w:link w:val="4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2">
    <w:name w:val="Header Char"/>
    <w:basedOn w:val="687"/>
    <w:link w:val="41"/>
    <w:uiPriority w:val="99"/>
  </w:style>
  <w:style w:type="character" w:styleId="44">
    <w:name w:val="Footer Char"/>
    <w:basedOn w:val="687"/>
    <w:link w:val="696"/>
    <w:uiPriority w:val="99"/>
  </w:style>
  <w:style w:type="paragraph" w:styleId="45">
    <w:name w:val="Caption"/>
    <w:basedOn w:val="685"/>
    <w:next w:val="68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6">
    <w:name w:val="Caption Char"/>
    <w:basedOn w:val="45"/>
    <w:link w:val="696"/>
    <w:uiPriority w:val="99"/>
  </w:style>
  <w:style w:type="table" w:styleId="48">
    <w:name w:val="Table Grid Light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Plain Table 1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2"/>
    <w:basedOn w:val="68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2">
    <w:name w:val="Plain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3">
    <w:name w:val="Plain Table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4">
    <w:name w:val="Grid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">
    <w:name w:val="Grid Table 4 - Accent 1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7">
    <w:name w:val="Grid Table 4 - Accent 2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">
    <w:name w:val="Grid Table 4 - Accent 3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9">
    <w:name w:val="Grid Table 4 - Accent 4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">
    <w:name w:val="Grid Table 4 - Accent 5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1">
    <w:name w:val="Grid Table 4 - Accent 6"/>
    <w:basedOn w:val="68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2">
    <w:name w:val="Grid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3">
    <w:name w:val="Grid Table 5 Dark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6">
    <w:name w:val="Grid Table 5 Dark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89">
    <w:name w:val="Grid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0">
    <w:name w:val="Grid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1">
    <w:name w:val="Grid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2">
    <w:name w:val="Grid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3">
    <w:name w:val="Grid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4">
    <w:name w:val="Grid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3">
    <w:name w:val="List Table 1 Light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1">
    <w:name w:val="List Table 2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2">
    <w:name w:val="List Table 2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3">
    <w:name w:val="List Table 2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4">
    <w:name w:val="List Table 2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5">
    <w:name w:val="List Table 2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6">
    <w:name w:val="List Table 2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7">
    <w:name w:val="List Table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5 Dark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6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9">
    <w:name w:val="List Table 6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0">
    <w:name w:val="List Table 6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1">
    <w:name w:val="List Table 6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2">
    <w:name w:val="List Table 6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3">
    <w:name w:val="List Table 6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4">
    <w:name w:val="List Table 6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5">
    <w:name w:val="List Table 7 Colorful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6">
    <w:name w:val="List Table 7 Colorful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7">
    <w:name w:val="List Table 7 Colorful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8">
    <w:name w:val="List Table 7 Colorful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49">
    <w:name w:val="List Table 7 Colorful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0">
    <w:name w:val="List Table 7 Colorful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1">
    <w:name w:val="List Table 7 Colorful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2">
    <w:name w:val="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3">
    <w:name w:val="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4">
    <w:name w:val="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5">
    <w:name w:val="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6">
    <w:name w:val="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7">
    <w:name w:val="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8">
    <w:name w:val="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59">
    <w:name w:val="Bordered &amp; Lined - Accent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0">
    <w:name w:val="Bordered &amp; Lined - Accent 1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1">
    <w:name w:val="Bordered &amp; Lined - Accent 2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2">
    <w:name w:val="Bordered &amp; Lined - Accent 3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3">
    <w:name w:val="Bordered &amp; Lined - Accent 4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4">
    <w:name w:val="Bordered &amp; Lined - Accent 5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5">
    <w:name w:val="Bordered &amp; Lined - Accent 6"/>
    <w:basedOn w:val="68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6">
    <w:name w:val="Bordered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7">
    <w:name w:val="Bordered - Accent 1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8">
    <w:name w:val="Bordered - Accent 2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9">
    <w:name w:val="Bordered - Accent 3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0">
    <w:name w:val="Bordered - Accent 4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1">
    <w:name w:val="Bordered - Accent 5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2">
    <w:name w:val="Bordered - Accent 6"/>
    <w:basedOn w:val="68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174">
    <w:name w:val="footnote text"/>
    <w:basedOn w:val="685"/>
    <w:link w:val="175"/>
    <w:uiPriority w:val="99"/>
    <w:semiHidden/>
    <w:unhideWhenUsed/>
    <w:pPr>
      <w:spacing w:after="40" w:line="240" w:lineRule="auto"/>
    </w:pPr>
    <w:rPr>
      <w:sz w:val="18"/>
    </w:rPr>
  </w:style>
  <w:style w:type="character" w:styleId="175">
    <w:name w:val="Footnote Text Char"/>
    <w:link w:val="174"/>
    <w:uiPriority w:val="99"/>
    <w:rPr>
      <w:sz w:val="18"/>
    </w:rPr>
  </w:style>
  <w:style w:type="character" w:styleId="176">
    <w:name w:val="footnote reference"/>
    <w:basedOn w:val="687"/>
    <w:uiPriority w:val="99"/>
    <w:unhideWhenUsed/>
    <w:rPr>
      <w:vertAlign w:val="superscript"/>
    </w:rPr>
  </w:style>
  <w:style w:type="paragraph" w:styleId="177">
    <w:name w:val="endnote text"/>
    <w:basedOn w:val="685"/>
    <w:link w:val="178"/>
    <w:uiPriority w:val="99"/>
    <w:semiHidden/>
    <w:unhideWhenUsed/>
    <w:pPr>
      <w:spacing w:after="0" w:line="240" w:lineRule="auto"/>
    </w:pPr>
    <w:rPr>
      <w:sz w:val="20"/>
    </w:rPr>
  </w:style>
  <w:style w:type="character" w:styleId="178">
    <w:name w:val="Endnote Text Char"/>
    <w:link w:val="177"/>
    <w:uiPriority w:val="99"/>
    <w:rPr>
      <w:sz w:val="20"/>
    </w:rPr>
  </w:style>
  <w:style w:type="character" w:styleId="179">
    <w:name w:val="endnote reference"/>
    <w:basedOn w:val="687"/>
    <w:uiPriority w:val="99"/>
    <w:semiHidden/>
    <w:unhideWhenUsed/>
    <w:rPr>
      <w:vertAlign w:val="superscript"/>
    </w:rPr>
  </w:style>
  <w:style w:type="paragraph" w:styleId="180">
    <w:name w:val="toc 1"/>
    <w:basedOn w:val="685"/>
    <w:next w:val="685"/>
    <w:uiPriority w:val="39"/>
    <w:unhideWhenUsed/>
    <w:pPr>
      <w:ind w:left="0" w:right="0" w:firstLine="0"/>
      <w:spacing w:after="57"/>
    </w:pPr>
  </w:style>
  <w:style w:type="paragraph" w:styleId="181">
    <w:name w:val="toc 2"/>
    <w:basedOn w:val="685"/>
    <w:next w:val="685"/>
    <w:uiPriority w:val="39"/>
    <w:unhideWhenUsed/>
    <w:pPr>
      <w:ind w:left="283" w:right="0" w:firstLine="0"/>
      <w:spacing w:after="57"/>
    </w:pPr>
  </w:style>
  <w:style w:type="paragraph" w:styleId="182">
    <w:name w:val="toc 3"/>
    <w:basedOn w:val="685"/>
    <w:next w:val="685"/>
    <w:uiPriority w:val="39"/>
    <w:unhideWhenUsed/>
    <w:pPr>
      <w:ind w:left="567" w:right="0" w:firstLine="0"/>
      <w:spacing w:after="57"/>
    </w:pPr>
  </w:style>
  <w:style w:type="paragraph" w:styleId="183">
    <w:name w:val="toc 4"/>
    <w:basedOn w:val="685"/>
    <w:next w:val="685"/>
    <w:uiPriority w:val="39"/>
    <w:unhideWhenUsed/>
    <w:pPr>
      <w:ind w:left="850" w:right="0" w:firstLine="0"/>
      <w:spacing w:after="57"/>
    </w:pPr>
  </w:style>
  <w:style w:type="paragraph" w:styleId="184">
    <w:name w:val="toc 5"/>
    <w:basedOn w:val="685"/>
    <w:next w:val="685"/>
    <w:uiPriority w:val="39"/>
    <w:unhideWhenUsed/>
    <w:pPr>
      <w:ind w:left="1134" w:right="0" w:firstLine="0"/>
      <w:spacing w:after="57"/>
    </w:pPr>
  </w:style>
  <w:style w:type="paragraph" w:styleId="185">
    <w:name w:val="toc 6"/>
    <w:basedOn w:val="685"/>
    <w:next w:val="685"/>
    <w:uiPriority w:val="39"/>
    <w:unhideWhenUsed/>
    <w:pPr>
      <w:ind w:left="1417" w:right="0" w:firstLine="0"/>
      <w:spacing w:after="57"/>
    </w:pPr>
  </w:style>
  <w:style w:type="paragraph" w:styleId="186">
    <w:name w:val="toc 7"/>
    <w:basedOn w:val="685"/>
    <w:next w:val="685"/>
    <w:uiPriority w:val="39"/>
    <w:unhideWhenUsed/>
    <w:pPr>
      <w:ind w:left="1701" w:right="0" w:firstLine="0"/>
      <w:spacing w:after="57"/>
    </w:pPr>
  </w:style>
  <w:style w:type="paragraph" w:styleId="187">
    <w:name w:val="toc 8"/>
    <w:basedOn w:val="685"/>
    <w:next w:val="685"/>
    <w:uiPriority w:val="39"/>
    <w:unhideWhenUsed/>
    <w:pPr>
      <w:ind w:left="1984" w:right="0" w:firstLine="0"/>
      <w:spacing w:after="57"/>
    </w:pPr>
  </w:style>
  <w:style w:type="paragraph" w:styleId="188">
    <w:name w:val="toc 9"/>
    <w:basedOn w:val="685"/>
    <w:next w:val="685"/>
    <w:uiPriority w:val="39"/>
    <w:unhideWhenUsed/>
    <w:pPr>
      <w:ind w:left="2268" w:right="0" w:firstLine="0"/>
      <w:spacing w:after="57"/>
    </w:pPr>
  </w:style>
  <w:style w:type="paragraph" w:styleId="189">
    <w:name w:val="TOC Heading"/>
    <w:uiPriority w:val="39"/>
    <w:unhideWhenUsed/>
  </w:style>
  <w:style w:type="paragraph" w:styleId="190">
    <w:name w:val="table of figures"/>
    <w:basedOn w:val="685"/>
    <w:next w:val="685"/>
    <w:uiPriority w:val="99"/>
    <w:unhideWhenUsed/>
    <w:pPr>
      <w:spacing w:after="0" w:afterAutospacing="0"/>
    </w:pPr>
  </w:style>
  <w:style w:type="paragraph" w:styleId="685" w:default="1">
    <w:name w:val="Normal"/>
    <w:qFormat/>
    <w:rPr>
      <w:lang w:val="uk-UA"/>
    </w:rPr>
  </w:style>
  <w:style w:type="paragraph" w:styleId="686">
    <w:name w:val="Heading 2"/>
    <w:basedOn w:val="685"/>
    <w:link w:val="705"/>
    <w:uiPriority w:val="9"/>
    <w:qFormat/>
    <w:pPr>
      <w:spacing w:before="100" w:beforeAutospacing="1" w:after="100" w:afterAutospacing="1" w:line="240" w:lineRule="auto"/>
      <w:outlineLvl w:val="1"/>
    </w:pPr>
    <w:rPr>
      <w:rFonts w:ascii="Times New Roman" w:hAnsi="Times New Roman" w:eastAsia="Times New Roman" w:cs="Times New Roman"/>
      <w:b/>
      <w:bCs/>
      <w:sz w:val="36"/>
      <w:szCs w:val="36"/>
      <w:lang w:eastAsia="uk-UA"/>
    </w:rPr>
  </w:style>
  <w:style w:type="character" w:styleId="687" w:default="1">
    <w:name w:val="Default Paragraph Font"/>
    <w:uiPriority w:val="1"/>
    <w:semiHidden/>
    <w:unhideWhenUsed/>
  </w:style>
  <w:style w:type="table" w:styleId="68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9" w:default="1">
    <w:name w:val="No List"/>
    <w:uiPriority w:val="99"/>
    <w:semiHidden/>
    <w:unhideWhenUsed/>
  </w:style>
  <w:style w:type="paragraph" w:styleId="690">
    <w:name w:val="List Paragraph"/>
    <w:basedOn w:val="685"/>
    <w:link w:val="691"/>
    <w:uiPriority w:val="34"/>
    <w:qFormat/>
    <w:pPr>
      <w:contextualSpacing/>
      <w:ind w:left="720"/>
      <w:spacing w:after="200" w:line="276" w:lineRule="auto"/>
    </w:pPr>
    <w:rPr>
      <w:rFonts w:ascii="Calibri" w:hAnsi="Calibri" w:eastAsia="Calibri" w:cs="Calibri"/>
      <w:lang w:val="ru-RU" w:eastAsia="zh-CN"/>
    </w:rPr>
  </w:style>
  <w:style w:type="character" w:styleId="691" w:customStyle="1">
    <w:name w:val="Абзац списку Знак"/>
    <w:link w:val="690"/>
    <w:uiPriority w:val="34"/>
    <w:rPr>
      <w:rFonts w:ascii="Calibri" w:hAnsi="Calibri" w:eastAsia="Calibri" w:cs="Calibri"/>
      <w:lang w:eastAsia="zh-CN"/>
    </w:rPr>
  </w:style>
  <w:style w:type="table" w:styleId="692">
    <w:name w:val="Table Grid"/>
    <w:basedOn w:val="688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styleId="693" w:customStyle="1">
    <w:name w:val="Сетка таблицы2"/>
    <w:basedOn w:val="688"/>
    <w:next w:val="692"/>
    <w:uiPriority w:val="39"/>
    <w:pPr>
      <w:spacing w:after="0" w:line="240" w:lineRule="auto"/>
    </w:pPr>
    <w:rPr>
      <w:rFonts w:ascii="Times New Roman" w:hAnsi="Times New Roman" w:eastAsia="Calibri" w:cs="Times New Roman"/>
      <w:sz w:val="20"/>
      <w:szCs w:val="20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4">
    <w:name w:val="Normal (Web)"/>
    <w:basedOn w:val="685"/>
    <w:link w:val="701"/>
    <w:unhideWhenUsed/>
    <w:qFormat/>
    <w:rPr>
      <w:rFonts w:ascii="Times New Roman" w:hAnsi="Times New Roman" w:cs="Times New Roman"/>
      <w:sz w:val="24"/>
      <w:szCs w:val="24"/>
    </w:rPr>
  </w:style>
  <w:style w:type="table" w:styleId="695" w:customStyle="1">
    <w:name w:val="Сетка таблицы1"/>
    <w:basedOn w:val="688"/>
    <w:next w:val="692"/>
    <w:uiPriority w:val="39"/>
    <w:pPr>
      <w:spacing w:after="0" w:line="240" w:lineRule="auto"/>
    </w:pPr>
    <w:rPr>
      <w:rFonts w:ascii="Times New Roman" w:hAnsi="Times New Roman"/>
      <w:sz w:val="28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696">
    <w:name w:val="Footer"/>
    <w:basedOn w:val="685"/>
    <w:link w:val="697"/>
    <w:uiPriority w:val="99"/>
    <w:unhideWhenUsed/>
    <w:pPr>
      <w:spacing w:after="0" w:line="240" w:lineRule="auto"/>
      <w:tabs>
        <w:tab w:val="center" w:pos="4819" w:leader="none"/>
        <w:tab w:val="right" w:pos="9639" w:leader="none"/>
      </w:tabs>
    </w:pPr>
    <w:rPr>
      <w:rFonts w:ascii="Calibri" w:hAnsi="Calibri" w:eastAsia="Calibri" w:cs="Calibri"/>
      <w:lang w:val="ru-RU" w:eastAsia="zh-CN"/>
    </w:rPr>
  </w:style>
  <w:style w:type="character" w:styleId="697" w:customStyle="1">
    <w:name w:val="Нижній колонтитул Знак"/>
    <w:basedOn w:val="687"/>
    <w:link w:val="696"/>
    <w:uiPriority w:val="99"/>
    <w:rPr>
      <w:rFonts w:ascii="Calibri" w:hAnsi="Calibri" w:eastAsia="Calibri" w:cs="Calibri"/>
      <w:lang w:eastAsia="zh-CN"/>
    </w:rPr>
  </w:style>
  <w:style w:type="paragraph" w:styleId="698" w:customStyle="1">
    <w:name w:val="FR1"/>
    <w:pPr>
      <w:ind w:left="40"/>
      <w:jc w:val="both"/>
      <w:spacing w:after="0" w:line="240" w:lineRule="auto"/>
      <w:widowControl w:val="off"/>
    </w:pPr>
    <w:rPr>
      <w:rFonts w:ascii="Calibri" w:hAnsi="Calibri" w:eastAsia="Calibri" w:cs="Times New Roman"/>
      <w:sz w:val="20"/>
      <w:szCs w:val="20"/>
      <w:lang w:val="uk-UA"/>
    </w:rPr>
  </w:style>
  <w:style w:type="character" w:styleId="699">
    <w:name w:val="Hyperlink"/>
    <w:basedOn w:val="687"/>
    <w:uiPriority w:val="99"/>
    <w:unhideWhenUsed/>
    <w:rPr>
      <w:color w:val="0563c1" w:themeColor="hyperlink"/>
      <w:u w:val="single"/>
    </w:rPr>
  </w:style>
  <w:style w:type="character" w:styleId="700" w:customStyle="1">
    <w:name w:val="xfm_93972720"/>
    <w:basedOn w:val="687"/>
  </w:style>
  <w:style w:type="character" w:styleId="701" w:customStyle="1">
    <w:name w:val="Звичайний (веб) Знак"/>
    <w:link w:val="694"/>
    <w:qFormat/>
    <w:rPr>
      <w:rFonts w:ascii="Times New Roman" w:hAnsi="Times New Roman" w:cs="Times New Roman"/>
      <w:sz w:val="24"/>
      <w:szCs w:val="24"/>
      <w:lang w:val="uk-UA"/>
    </w:rPr>
  </w:style>
  <w:style w:type="paragraph" w:styleId="702">
    <w:name w:val="Body Text 2"/>
    <w:basedOn w:val="685"/>
    <w:link w:val="703"/>
    <w:pPr>
      <w:spacing w:after="0" w:line="240" w:lineRule="auto"/>
    </w:pPr>
    <w:rPr>
      <w:rFonts w:ascii="Times New Roman" w:hAnsi="Times New Roman" w:eastAsia="Times New Roman" w:cs="Times New Roman"/>
      <w:sz w:val="28"/>
      <w:szCs w:val="20"/>
      <w:lang w:val="ru-RU" w:eastAsia="ru-RU"/>
    </w:rPr>
  </w:style>
  <w:style w:type="character" w:styleId="703" w:customStyle="1">
    <w:name w:val="Основний текст 2 Знак"/>
    <w:basedOn w:val="687"/>
    <w:link w:val="702"/>
    <w:rPr>
      <w:rFonts w:ascii="Times New Roman" w:hAnsi="Times New Roman" w:eastAsia="Times New Roman" w:cs="Times New Roman"/>
      <w:sz w:val="28"/>
      <w:szCs w:val="20"/>
      <w:lang w:eastAsia="ru-RU"/>
    </w:rPr>
  </w:style>
  <w:style w:type="paragraph" w:styleId="704" w:customStyle="1">
    <w:name w:val="Default"/>
    <w:pPr>
      <w:spacing w:after="0" w:line="240" w:lineRule="auto"/>
    </w:pPr>
    <w:rPr>
      <w:rFonts w:ascii="Times New Roman" w:hAnsi="Times New Roman" w:eastAsia="Calibri" w:cs="Times New Roman"/>
      <w:color w:val="000000"/>
      <w:sz w:val="24"/>
      <w:szCs w:val="24"/>
      <w:lang w:val="uk-UA" w:eastAsia="uk-UA"/>
    </w:rPr>
  </w:style>
  <w:style w:type="character" w:styleId="705" w:customStyle="1">
    <w:name w:val="Заголовок 2 Знак"/>
    <w:basedOn w:val="687"/>
    <w:link w:val="686"/>
    <w:uiPriority w:val="9"/>
    <w:rPr>
      <w:rFonts w:ascii="Times New Roman" w:hAnsi="Times New Roman" w:eastAsia="Times New Roman" w:cs="Times New Roman"/>
      <w:b/>
      <w:bCs/>
      <w:sz w:val="36"/>
      <w:szCs w:val="36"/>
      <w:lang w:val="uk-UA" w:eastAsia="uk-UA"/>
    </w:rPr>
  </w:style>
  <w:style w:type="paragraph" w:styleId="706">
    <w:name w:val="No Spacing"/>
    <w:link w:val="707"/>
    <w:uiPriority w:val="1"/>
    <w:qFormat/>
    <w:pPr>
      <w:spacing w:after="0" w:line="240" w:lineRule="auto"/>
    </w:pPr>
    <w:rPr>
      <w:rFonts w:ascii="Calibri" w:hAnsi="Calibri" w:eastAsia="Calibri" w:cs="Times New Roman"/>
      <w:lang w:val="uk-UA"/>
    </w:rPr>
  </w:style>
  <w:style w:type="character" w:styleId="707" w:customStyle="1">
    <w:name w:val="Без інтервалів Знак"/>
    <w:basedOn w:val="687"/>
    <w:link w:val="706"/>
    <w:uiPriority w:val="1"/>
    <w:rPr>
      <w:rFonts w:ascii="Calibri" w:hAnsi="Calibri" w:eastAsia="Calibri" w:cs="Times New Roman"/>
      <w:lang w:val="uk-UA"/>
    </w:rPr>
  </w:style>
  <w:style w:type="character" w:styleId="708" w:customStyle="1">
    <w:name w:val="Другое_"/>
    <w:basedOn w:val="687"/>
    <w:link w:val="709"/>
    <w:rPr>
      <w:rFonts w:ascii="Calibri" w:hAnsi="Calibri" w:eastAsia="Calibri" w:cs="Calibri"/>
      <w:sz w:val="20"/>
      <w:szCs w:val="20"/>
    </w:rPr>
  </w:style>
  <w:style w:type="paragraph" w:styleId="709" w:customStyle="1">
    <w:name w:val="Другое"/>
    <w:basedOn w:val="685"/>
    <w:link w:val="708"/>
    <w:pPr>
      <w:spacing w:after="0" w:line="240" w:lineRule="auto"/>
      <w:widowControl w:val="off"/>
    </w:pPr>
    <w:rPr>
      <w:rFonts w:ascii="Calibri" w:hAnsi="Calibri" w:eastAsia="Calibri" w:cs="Calibri"/>
      <w:sz w:val="20"/>
      <w:szCs w:val="20"/>
      <w:lang w:val="ru-RU"/>
    </w:rPr>
  </w:style>
  <w:style w:type="paragraph" w:styleId="710" w:customStyle="1">
    <w:name w:val="Звичайний1"/>
    <w:qFormat/>
    <w:pPr>
      <w:spacing w:after="0" w:line="240" w:lineRule="auto"/>
    </w:pPr>
    <w:rPr>
      <w:rFonts w:ascii="Tms Rmn" w:hAnsi="Tms Rmn" w:eastAsia="Times New Roman" w:cs="Times New Roman"/>
      <w:sz w:val="20"/>
      <w:szCs w:val="20"/>
      <w:lang w:val="uk-UA" w:eastAsia="ru-RU" w:bidi="te-IN"/>
    </w:rPr>
  </w:style>
  <w:style w:type="character" w:styleId="711" w:customStyle="1">
    <w:name w:val="Основной текст (2)_"/>
    <w:basedOn w:val="687"/>
    <w:link w:val="712"/>
    <w:rPr>
      <w:rFonts w:eastAsia="Times New Roman" w:cs="Times New Roman"/>
      <w:shd w:val="clear" w:color="auto" w:fill="ffffff"/>
    </w:rPr>
  </w:style>
  <w:style w:type="paragraph" w:styleId="712" w:customStyle="1">
    <w:name w:val="Основной текст (2)"/>
    <w:basedOn w:val="685"/>
    <w:link w:val="711"/>
    <w:pPr>
      <w:ind w:hanging="700"/>
      <w:jc w:val="both"/>
      <w:spacing w:before="240" w:after="480" w:line="0" w:lineRule="atLeast"/>
      <w:shd w:val="clear" w:color="auto" w:fill="ffffff"/>
      <w:widowControl w:val="off"/>
    </w:pPr>
    <w:rPr>
      <w:rFonts w:eastAsia="Times New Roman" w:cs="Times New Roman"/>
      <w:lang w:val="ru-RU"/>
    </w:rPr>
  </w:style>
  <w:style w:type="character" w:styleId="713" w:customStyle="1">
    <w:name w:val="Текст у виносці Знак"/>
    <w:basedOn w:val="687"/>
    <w:link w:val="714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714">
    <w:name w:val="Balloon Text"/>
    <w:basedOn w:val="685"/>
    <w:link w:val="713"/>
    <w:uiPriority w:val="99"/>
    <w:semiHidden/>
    <w:unhideWhenUsed/>
    <w:pPr>
      <w:spacing w:after="0" w:line="240" w:lineRule="auto"/>
      <w:widowControl w:val="off"/>
    </w:pPr>
    <w:rPr>
      <w:rFonts w:ascii="Segoe UI" w:hAnsi="Segoe UI" w:eastAsia="Times New Roman" w:cs="Segoe UI"/>
      <w:sz w:val="18"/>
      <w:szCs w:val="18"/>
      <w:lang w:val="ru-RU" w:eastAsia="ru-RU"/>
    </w:rPr>
  </w:style>
  <w:style w:type="character" w:styleId="715" w:customStyle="1">
    <w:name w:val="Текст у виносці Знак1"/>
    <w:basedOn w:val="687"/>
    <w:uiPriority w:val="99"/>
    <w:semiHidden/>
    <w:rPr>
      <w:rFonts w:ascii="Segoe UI" w:hAnsi="Segoe UI" w:cs="Segoe UI"/>
      <w:sz w:val="18"/>
      <w:szCs w:val="18"/>
      <w:lang w:val="uk-UA"/>
    </w:rPr>
  </w:style>
  <w:style w:type="character" w:styleId="716" w:customStyle="1">
    <w:name w:val="T23"/>
    <w:rPr>
      <w:rFonts w:hint="default" w:ascii="Times New Roman" w:hAnsi="Times New Roman" w:eastAsia="Times New Roman1" w:cs="Times New Roman"/>
    </w:rPr>
  </w:style>
  <w:style w:type="paragraph" w:styleId="717" w:customStyle="1">
    <w:name w:val="ng-star-inserted"/>
    <w:basedOn w:val="685"/>
    <w:qFormat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uk-UA"/>
    </w:rPr>
  </w:style>
  <w:style w:type="character" w:styleId="718" w:customStyle="1">
    <w:name w:val="docdata"/>
    <w:basedOn w:val="687"/>
  </w:style>
  <w:style w:type="character" w:styleId="719" w:customStyle="1">
    <w:name w:val="ng-star-inserted1"/>
    <w:basedOn w:val="687"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Relationship Id="rId11" Type="http://schemas.openxmlformats.org/officeDocument/2006/relationships/hyperlink" Target="https://www.foxtrot.com.ua/uk/shop/pylesosy_ruchnoj.html" TargetMode="External"/><Relationship Id="rId12" Type="http://schemas.openxmlformats.org/officeDocument/2006/relationships/hyperlink" Target="https://www.foxtrot.com.ua/uk/shop/pylesosy_akkumulyatorniy.html" TargetMode="External"/><Relationship Id="rId13" Type="http://schemas.openxmlformats.org/officeDocument/2006/relationships/hyperlink" Target="https://www.foxtrot.com.ua/uk/shop/pylesosy_dlya-sukhoy-uborki.html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3C65B9-6C17-4B00-95F1-8E64DA363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ONLYOFFICE/7.2.2.56</Application>
  <Company>SPecialiST RePack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ВЮС 2</dc:creator>
  <cp:keywords/>
  <dc:description/>
  <cp:lastModifiedBy>Павріанідіс Аліса Віталіївна</cp:lastModifiedBy>
  <cp:revision>132</cp:revision>
  <dcterms:created xsi:type="dcterms:W3CDTF">2022-11-01T12:47:00Z</dcterms:created>
  <dcterms:modified xsi:type="dcterms:W3CDTF">2023-07-27T07:25:13Z</dcterms:modified>
</cp:coreProperties>
</file>