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2"/>
        <w:jc w:val="both"/>
        <w:spacing w:before="0" w:beforeAutospacing="0" w:after="0" w:afterAutospacing="0"/>
        <w:shd w:val="clear" w:color="auto" w:fill="ffffff" w:themeFill="background1"/>
        <w:rPr>
          <w:b w:val="0"/>
          <w:bCs w:val="0"/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прокладання та </w:t>
      </w:r>
      <w:r>
        <w:rPr>
          <w:b w:val="0"/>
          <w:bCs w:val="0"/>
          <w:spacing w:val="1"/>
          <w:sz w:val="24"/>
          <w:szCs w:val="24"/>
        </w:rPr>
        <w:t xml:space="preserve">розварювання</w:t>
      </w:r>
      <w:r>
        <w:rPr>
          <w:b w:val="0"/>
          <w:bCs w:val="0"/>
          <w:spacing w:val="1"/>
          <w:sz w:val="24"/>
          <w:szCs w:val="24"/>
        </w:rPr>
        <w:t xml:space="preserve"> оптоволоконного кабелю в будівлі по вул. Волинській, 26 за код ДК 021:2015 72710000-0 «Послуги у сфері локальних мереж»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011020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прокладання та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розварювання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оптоволоконного кабелю в будівлі по вул. Волинській, 26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pStyle w:val="682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</w:rPr>
      </w:pPr>
      <w:r>
        <w:rPr>
          <w:spacing w:val="1"/>
          <w:sz w:val="24"/>
          <w:szCs w:val="24"/>
        </w:rPr>
        <w:t xml:space="preserve">Послуги з прокладання та </w:t>
      </w:r>
      <w:r>
        <w:rPr>
          <w:spacing w:val="1"/>
          <w:sz w:val="24"/>
          <w:szCs w:val="24"/>
        </w:rPr>
        <w:t xml:space="preserve">розварювання</w:t>
      </w:r>
      <w:r>
        <w:rPr>
          <w:spacing w:val="1"/>
          <w:sz w:val="24"/>
          <w:szCs w:val="24"/>
        </w:rPr>
        <w:t xml:space="preserve"> оптоволоконного кабелю в будівлі по вул. Волинській, 26 за код ДК 021:2015 72710000-0 «Послуги у сфері локальних мереж»</w:t>
      </w:r>
      <w:r/>
    </w:p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4"/>
        <w:gridCol w:w="6361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Послуги з прокладання та 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розварювання</w:t>
            </w:r>
            <w:r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оптоволоконного кабелю в будівлі по вул. Волинській, 26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Всі елементи обладнання та матеріали повинні бути сертифіковані в Україні та мати необхідні дозвільні документи, у разі сертифікації даних матеріалів.</w:t>
      </w:r>
      <w:r/>
    </w:p>
    <w:p>
      <w:pPr>
        <w:contextualSpacing/>
        <w:ind w:firstLine="567"/>
        <w:jc w:val="both"/>
        <w:spacing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r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pPr w:horzAnchor="margin" w:tblpXSpec="center" w:vertAnchor="text" w:tblpY="349" w:leftFromText="180" w:topFromText="0" w:rightFromText="180" w:bottomFromText="0"/>
        <w:tblW w:w="4936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5"/>
        <w:gridCol w:w="6752"/>
        <w:gridCol w:w="931"/>
        <w:gridCol w:w="1336"/>
      </w:tblGrid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Номенклатура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Один.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Послуги</w:t>
            </w:r>
            <w:r/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Виконавча документація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Прокладання кабелю по будівлі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</w:tr>
      <w:tr>
        <w:trPr>
          <w:trHeight w:val="265"/>
        </w:trPr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ODF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265"/>
        </w:trPr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Зварювання оптичних волокон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</w:tr>
      <w:tr>
        <w:trPr>
          <w:trHeight w:val="265"/>
        </w:trPr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оптичних розеток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gridSpan w:val="4"/>
            <w:tcW w:w="500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Матеріали</w:t>
            </w:r>
            <w:r/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 ОК-8 для внутрішніх робіт, що не підтримує горіння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/>
          </w:p>
        </w:tc>
      </w:tr>
      <w:tr>
        <w:trPr/>
        <w:tc>
          <w:tcPr>
            <w:tcW w:w="255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</w:t>
            </w:r>
            <w:r/>
          </w:p>
        </w:tc>
        <w:tc>
          <w:tcPr>
            <w:tcW w:w="3552" w:type="pct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Оптична панель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-24 в зборі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ODF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/>
          </w:p>
        </w:tc>
        <w:tc>
          <w:tcPr>
            <w:tcW w:w="490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</w:t>
            </w:r>
            <w:r/>
          </w:p>
        </w:tc>
        <w:tc>
          <w:tcPr>
            <w:tcW w:w="703" w:type="pct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15 680,00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п’ятнадцять тисяч шістсот вісімдесят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1"/>
    <w:next w:val="68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3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3"/>
    <w:link w:val="68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1"/>
    <w:next w:val="68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3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1"/>
    <w:next w:val="68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3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1"/>
    <w:next w:val="68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3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1"/>
    <w:next w:val="68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3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1"/>
    <w:next w:val="68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3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1"/>
    <w:next w:val="68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3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1"/>
    <w:next w:val="68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3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1"/>
    <w:next w:val="68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3"/>
    <w:link w:val="33"/>
    <w:uiPriority w:val="10"/>
    <w:rPr>
      <w:sz w:val="48"/>
      <w:szCs w:val="48"/>
    </w:rPr>
  </w:style>
  <w:style w:type="paragraph" w:styleId="35">
    <w:name w:val="Subtitle"/>
    <w:basedOn w:val="681"/>
    <w:next w:val="68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3"/>
    <w:link w:val="35"/>
    <w:uiPriority w:val="11"/>
    <w:rPr>
      <w:sz w:val="24"/>
      <w:szCs w:val="24"/>
    </w:rPr>
  </w:style>
  <w:style w:type="paragraph" w:styleId="37">
    <w:name w:val="Quote"/>
    <w:basedOn w:val="681"/>
    <w:next w:val="68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1"/>
    <w:next w:val="68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3"/>
    <w:link w:val="41"/>
    <w:uiPriority w:val="99"/>
  </w:style>
  <w:style w:type="character" w:styleId="44">
    <w:name w:val="Footer Char"/>
    <w:basedOn w:val="683"/>
    <w:link w:val="692"/>
    <w:uiPriority w:val="99"/>
  </w:style>
  <w:style w:type="paragraph" w:styleId="45">
    <w:name w:val="Caption"/>
    <w:basedOn w:val="681"/>
    <w:next w:val="68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2"/>
    <w:uiPriority w:val="99"/>
  </w:style>
  <w:style w:type="table" w:styleId="48">
    <w:name w:val="Table Grid Light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3"/>
    <w:uiPriority w:val="99"/>
    <w:unhideWhenUsed/>
    <w:rPr>
      <w:vertAlign w:val="superscript"/>
    </w:rPr>
  </w:style>
  <w:style w:type="paragraph" w:styleId="177">
    <w:name w:val="endnote text"/>
    <w:basedOn w:val="68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3"/>
    <w:uiPriority w:val="99"/>
    <w:semiHidden/>
    <w:unhideWhenUsed/>
    <w:rPr>
      <w:vertAlign w:val="superscript"/>
    </w:rPr>
  </w:style>
  <w:style w:type="paragraph" w:styleId="180">
    <w:name w:val="toc 1"/>
    <w:basedOn w:val="681"/>
    <w:next w:val="68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1"/>
    <w:next w:val="68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1"/>
    <w:next w:val="68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1"/>
    <w:next w:val="68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1"/>
    <w:next w:val="68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1"/>
    <w:next w:val="68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1"/>
    <w:next w:val="68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1"/>
    <w:next w:val="68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1"/>
    <w:next w:val="68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1"/>
    <w:next w:val="681"/>
    <w:uiPriority w:val="99"/>
    <w:unhideWhenUsed/>
    <w:pPr>
      <w:spacing w:after="0" w:afterAutospacing="0"/>
    </w:pPr>
  </w:style>
  <w:style w:type="paragraph" w:styleId="681" w:default="1">
    <w:name w:val="Normal"/>
    <w:qFormat/>
    <w:rPr>
      <w:lang w:val="uk-UA"/>
    </w:rPr>
  </w:style>
  <w:style w:type="paragraph" w:styleId="682">
    <w:name w:val="Heading 2"/>
    <w:basedOn w:val="681"/>
    <w:link w:val="701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List Paragraph"/>
    <w:basedOn w:val="681"/>
    <w:link w:val="687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7" w:customStyle="1">
    <w:name w:val="Абзац списку Знак"/>
    <w:link w:val="686"/>
    <w:uiPriority w:val="99"/>
    <w:rPr>
      <w:rFonts w:ascii="Calibri" w:hAnsi="Calibri" w:eastAsia="Calibri" w:cs="Calibri"/>
      <w:lang w:eastAsia="zh-CN"/>
    </w:rPr>
  </w:style>
  <w:style w:type="table" w:styleId="688">
    <w:name w:val="Table Grid"/>
    <w:basedOn w:val="684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Сетка таблицы2"/>
    <w:basedOn w:val="684"/>
    <w:next w:val="688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0">
    <w:name w:val="Normal (Web)"/>
    <w:basedOn w:val="681"/>
    <w:link w:val="697"/>
    <w:unhideWhenUsed/>
    <w:qFormat/>
    <w:rPr>
      <w:rFonts w:ascii="Times New Roman" w:hAnsi="Times New Roman" w:cs="Times New Roman"/>
      <w:sz w:val="24"/>
      <w:szCs w:val="24"/>
    </w:rPr>
  </w:style>
  <w:style w:type="table" w:styleId="691" w:customStyle="1">
    <w:name w:val="Сетка таблицы1"/>
    <w:basedOn w:val="684"/>
    <w:next w:val="688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2">
    <w:name w:val="Footer"/>
    <w:basedOn w:val="681"/>
    <w:link w:val="693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3" w:customStyle="1">
    <w:name w:val="Нижній колонтитул Знак"/>
    <w:basedOn w:val="683"/>
    <w:link w:val="692"/>
    <w:uiPriority w:val="99"/>
    <w:rPr>
      <w:rFonts w:ascii="Calibri" w:hAnsi="Calibri" w:eastAsia="Calibri" w:cs="Calibri"/>
      <w:lang w:eastAsia="zh-CN"/>
    </w:rPr>
  </w:style>
  <w:style w:type="paragraph" w:styleId="694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5">
    <w:name w:val="Hyperlink"/>
    <w:basedOn w:val="683"/>
    <w:uiPriority w:val="99"/>
    <w:unhideWhenUsed/>
    <w:rPr>
      <w:color w:val="0563c1" w:themeColor="hyperlink"/>
      <w:u w:val="single"/>
    </w:rPr>
  </w:style>
  <w:style w:type="character" w:styleId="696" w:customStyle="1">
    <w:name w:val="xfm_93972720"/>
    <w:basedOn w:val="683"/>
  </w:style>
  <w:style w:type="character" w:styleId="697" w:customStyle="1">
    <w:name w:val="Звичайний (веб) Знак"/>
    <w:link w:val="690"/>
    <w:qFormat/>
    <w:rPr>
      <w:rFonts w:ascii="Times New Roman" w:hAnsi="Times New Roman" w:cs="Times New Roman"/>
      <w:sz w:val="24"/>
      <w:szCs w:val="24"/>
      <w:lang w:val="uk-UA"/>
    </w:rPr>
  </w:style>
  <w:style w:type="paragraph" w:styleId="698">
    <w:name w:val="Body Text 2"/>
    <w:basedOn w:val="681"/>
    <w:link w:val="699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99" w:customStyle="1">
    <w:name w:val="Основний текст 2 Знак"/>
    <w:basedOn w:val="683"/>
    <w:link w:val="698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0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1" w:customStyle="1">
    <w:name w:val="Заголовок 2 Знак"/>
    <w:basedOn w:val="683"/>
    <w:link w:val="682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2">
    <w:name w:val="No Spacing"/>
    <w:link w:val="703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3" w:customStyle="1">
    <w:name w:val="Без інтервалів Знак"/>
    <w:basedOn w:val="683"/>
    <w:link w:val="702"/>
    <w:uiPriority w:val="1"/>
    <w:rPr>
      <w:rFonts w:ascii="Calibri" w:hAnsi="Calibri" w:eastAsia="Calibri" w:cs="Times New Roman"/>
      <w:lang w:val="uk-UA"/>
    </w:rPr>
  </w:style>
  <w:style w:type="character" w:styleId="704" w:customStyle="1">
    <w:name w:val="Другое_"/>
    <w:basedOn w:val="683"/>
    <w:link w:val="705"/>
    <w:rPr>
      <w:rFonts w:ascii="Calibri" w:hAnsi="Calibri" w:eastAsia="Calibri" w:cs="Calibri"/>
      <w:sz w:val="20"/>
      <w:szCs w:val="20"/>
    </w:rPr>
  </w:style>
  <w:style w:type="paragraph" w:styleId="705" w:customStyle="1">
    <w:name w:val="Другое"/>
    <w:basedOn w:val="681"/>
    <w:link w:val="704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6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7" w:customStyle="1">
    <w:name w:val="Основной текст (2)_"/>
    <w:basedOn w:val="683"/>
    <w:link w:val="708"/>
    <w:rPr>
      <w:rFonts w:eastAsia="Times New Roman" w:cs="Times New Roman"/>
      <w:shd w:val="clear" w:color="auto" w:fill="ffffff"/>
    </w:rPr>
  </w:style>
  <w:style w:type="paragraph" w:styleId="708" w:customStyle="1">
    <w:name w:val="Основной текст (2)"/>
    <w:basedOn w:val="681"/>
    <w:link w:val="707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09">
    <w:name w:val="Emphasis"/>
    <w:basedOn w:val="683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132</cp:revision>
  <dcterms:created xsi:type="dcterms:W3CDTF">2022-11-01T12:47:00Z</dcterms:created>
  <dcterms:modified xsi:type="dcterms:W3CDTF">2023-07-27T07:12:42Z</dcterms:modified>
</cp:coreProperties>
</file>