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hyperlink r:id="rId11" w:tooltip="https://www.dzo.com.ua/tenders/17227183" w:history="1">
        <w:r>
          <w:rPr>
            <w:rStyle w:val="747"/>
            <w:b w:val="0"/>
            <w:bCs w:val="0"/>
            <w:color w:val="000000"/>
            <w:sz w:val="24"/>
            <w:szCs w:val="24"/>
            <w:u w:val="none"/>
          </w:rPr>
          <w:t xml:space="preserve">Послуги з відновлення працездатності комплексів автоматичної фото-/</w:t>
        </w:r>
        <w:r>
          <w:rPr>
            <w:rStyle w:val="747"/>
            <w:b w:val="0"/>
            <w:bCs w:val="0"/>
            <w:color w:val="000000"/>
            <w:sz w:val="24"/>
            <w:szCs w:val="24"/>
            <w:u w:val="none"/>
          </w:rPr>
          <w:t xml:space="preserve">відеофіксації</w:t>
        </w:r>
        <w:r>
          <w:rPr>
            <w:rStyle w:val="747"/>
            <w:b w:val="0"/>
            <w:bCs w:val="0"/>
            <w:color w:val="000000"/>
            <w:sz w:val="24"/>
            <w:szCs w:val="24"/>
            <w:u w:val="none"/>
          </w:rPr>
          <w:t xml:space="preserve"> правопорушень у сфері безпеки дорожнього руху «КАСКАД» із серійними номерами </w:t>
        </w:r>
        <w:r>
          <w:rPr>
            <w:b w:val="0"/>
            <w:bCs w:val="0"/>
            <w:sz w:val="24"/>
            <w:szCs w:val="24"/>
            <w:shd w:val="clear" w:color="auto" w:fill="ffffff"/>
          </w:rPr>
          <w:t xml:space="preserve">075-1120, 171-1220, 248-1220</w:t>
        </w:r>
        <w:r>
          <w:rPr>
            <w:rStyle w:val="747"/>
            <w:b w:val="0"/>
            <w:bCs w:val="0"/>
            <w:color w:val="000000"/>
            <w:sz w:val="24"/>
            <w:szCs w:val="24"/>
            <w:u w:val="none"/>
          </w:rPr>
          <w:t xml:space="preserve"> за ДК 021:2015 : 50230000-6 Послуги з ремонту, технічного обслуговування дорожньої інфраструктури і пов’язаного обладнання та супутні послуги</w:t>
        </w:r>
      </w:hyperlink>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004671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hyperlink r:id="rId12" w:tooltip="https://www.dzo.com.ua/tenders/17227183" w:history="1">
        <w:r>
          <w:rPr>
            <w:rStyle w:val="747"/>
            <w:rFonts w:ascii="Times New Roman" w:hAnsi="Times New Roman" w:cs="Times New Roman"/>
            <w:color w:val="000000"/>
            <w:sz w:val="24"/>
            <w:szCs w:val="24"/>
            <w:u w:val="none"/>
          </w:rPr>
          <w:t xml:space="preserve">Послуги з відновлення працездатності комплексів автоматичної фото-/</w:t>
        </w:r>
        <w:r>
          <w:rPr>
            <w:rStyle w:val="747"/>
            <w:rFonts w:ascii="Times New Roman" w:hAnsi="Times New Roman" w:cs="Times New Roman"/>
            <w:color w:val="000000"/>
            <w:sz w:val="24"/>
            <w:szCs w:val="24"/>
            <w:u w:val="none"/>
          </w:rPr>
          <w:t xml:space="preserve">відеофіксації</w:t>
        </w:r>
        <w:r>
          <w:rPr>
            <w:rStyle w:val="747"/>
            <w:rFonts w:ascii="Times New Roman" w:hAnsi="Times New Roman" w:cs="Times New Roman"/>
            <w:color w:val="000000"/>
            <w:sz w:val="24"/>
            <w:szCs w:val="24"/>
            <w:u w:val="none"/>
          </w:rPr>
          <w:t xml:space="preserve"> правопорушень у сфері безпеки дорожнього руху «КАСКАД» із серійними номерами </w:t>
        </w:r>
        <w:r>
          <w:rPr>
            <w:rFonts w:ascii="Times New Roman" w:hAnsi="Times New Roman" w:cs="Times New Roman"/>
            <w:sz w:val="24"/>
            <w:szCs w:val="24"/>
            <w:shd w:val="clear" w:color="auto" w:fill="ffffff"/>
          </w:rPr>
          <w:t xml:space="preserve">075-1120, 171-1220, 248-1220</w:t>
        </w:r>
        <w:r>
          <w:rPr>
            <w:rStyle w:val="747"/>
            <w:rFonts w:ascii="Times New Roman" w:hAnsi="Times New Roman" w:cs="Times New Roman"/>
            <w:color w:val="000000"/>
            <w:sz w:val="24"/>
            <w:szCs w:val="24"/>
            <w:u w:val="none"/>
          </w:rPr>
          <w:t xml:space="preserve"> за ДК 021:2015 : 50230000-6 Послуги з ремонту, технічного обслуговування дорожньої інфраструктури і пов’язаного обладнання та супутні послуги</w:t>
        </w:r>
      </w:hyperlink>
      <w:r/>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32"/>
        <w:jc w:val="center"/>
        <w:spacing w:before="0" w:beforeAutospacing="0" w:after="0" w:afterAutospacing="0"/>
        <w:shd w:val="clear" w:color="auto" w:fill="ffffff" w:themeFill="background1"/>
        <w:rPr>
          <w:color w:val="585858"/>
          <w:sz w:val="24"/>
          <w:szCs w:val="24"/>
        </w:rPr>
      </w:pPr>
      <w:r/>
      <w:hyperlink r:id="rId13" w:tooltip="https://www.dzo.com.ua/tenders/17227183" w:history="1">
        <w:r>
          <w:rPr>
            <w:rStyle w:val="747"/>
            <w:color w:val="000000"/>
            <w:sz w:val="24"/>
            <w:szCs w:val="24"/>
          </w:rPr>
          <w:t xml:space="preserve">Послуги з відновлення працездатності комплексів автоматичної фото-/</w:t>
        </w:r>
        <w:r>
          <w:rPr>
            <w:rStyle w:val="747"/>
            <w:color w:val="000000"/>
            <w:sz w:val="24"/>
            <w:szCs w:val="24"/>
          </w:rPr>
          <w:t xml:space="preserve">відеофіксації</w:t>
        </w:r>
        <w:r>
          <w:rPr>
            <w:rStyle w:val="747"/>
            <w:color w:val="000000"/>
            <w:sz w:val="24"/>
            <w:szCs w:val="24"/>
          </w:rPr>
          <w:t xml:space="preserve"> правопорушень у сфері безпеки дорожнього руху «КАСКАД» із серійними номерами </w:t>
        </w:r>
        <w:r>
          <w:rPr>
            <w:sz w:val="24"/>
            <w:szCs w:val="24"/>
            <w:u w:val="single"/>
            <w:shd w:val="clear" w:color="auto" w:fill="ffffff"/>
          </w:rPr>
          <w:t xml:space="preserve">075-1120, 171-1220, 248-1220</w:t>
        </w:r>
        <w:r>
          <w:rPr>
            <w:rStyle w:val="747"/>
            <w:color w:val="000000"/>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hyperlink>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contextualSpacing/>
        <w:ind w:left="72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Загальна інформація</w:t>
      </w:r>
      <w:r/>
    </w:p>
    <w:p>
      <w:pPr>
        <w:contextualSpacing/>
        <w:ind w:left="72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p>
    <w:p>
      <w:pPr>
        <w:contextualSpacing/>
        <w:ind w:firstLine="709"/>
        <w:jc w:val="both"/>
        <w:spacing w:after="0" w:line="240" w:lineRule="auto"/>
        <w:rPr>
          <w:rFonts w:ascii="Times New Roman" w:hAnsi="Times New Roman" w:eastAsia="Calibri" w:cs="Times New Roman"/>
          <w:bCs/>
          <w:sz w:val="24"/>
          <w:szCs w:val="24"/>
        </w:rPr>
      </w:pPr>
      <w:r/>
      <w:bookmarkStart w:id="0" w:name="_Hlk148428207"/>
      <w:r>
        <w:rPr>
          <w:rFonts w:ascii="Times New Roman" w:hAnsi="Times New Roman" w:eastAsia="Calibri" w:cs="Times New Roman"/>
          <w:bCs/>
          <w:sz w:val="24"/>
          <w:szCs w:val="24"/>
        </w:rPr>
        <w:t xml:space="preserve">Предметом закупівлі є послуги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bCs/>
          <w:sz w:val="24"/>
          <w:szCs w:val="24"/>
        </w:rPr>
        <w:t xml:space="preserve">відеофіксації</w:t>
      </w:r>
      <w:r>
        <w:rPr>
          <w:rFonts w:ascii="Times New Roman" w:hAnsi="Times New Roman" w:eastAsia="Calibri" w:cs="Times New Roman"/>
          <w:bCs/>
          <w:sz w:val="24"/>
          <w:szCs w:val="24"/>
        </w:rPr>
        <w:t xml:space="preserve"> правопорушень у сфері безпеки дорожнього руху “КАСКАД”» (далі – Комплекс «Каскад»), які здійснюються шляхом надання послуг з ремонту відповідно до експлуатаційної докуме</w:t>
      </w:r>
      <w:r>
        <w:rPr>
          <w:rFonts w:ascii="Times New Roman" w:hAnsi="Times New Roman" w:eastAsia="Calibri" w:cs="Times New Roman"/>
          <w:bCs/>
          <w:sz w:val="24"/>
          <w:szCs w:val="24"/>
        </w:rPr>
        <w:t xml:space="preserve">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№326.</w:t>
      </w:r>
      <w:r/>
    </w:p>
    <w:p>
      <w:pPr>
        <w:ind w:firstLine="720"/>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w:t>
      </w:r>
      <w:r>
        <w:rPr>
          <w:rFonts w:ascii="Times New Roman" w:hAnsi="Times New Roman" w:cs="Times New Roman"/>
          <w:sz w:val="24"/>
          <w:szCs w:val="24"/>
          <w:lang w:eastAsia="uk-UA"/>
        </w:rPr>
        <w:t xml:space="preserve">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Ремонт проводиться з метою підтримання працездатного стану Комплексів «КАСКАД».</w:t>
      </w:r>
      <w:r/>
    </w:p>
    <w:p>
      <w:pPr>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Умови виконання робіт: в сервісному центрі, на місці встановлення.</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Об’єм робіт для кожного комплексу «Каскад»:</w:t>
      </w:r>
      <w:bookmarkEnd w:id="0"/>
      <w:r/>
      <w:r/>
    </w:p>
    <w:p>
      <w:pPr>
        <w:pStyle w:val="738"/>
        <w:numPr>
          <w:ilvl w:val="0"/>
          <w:numId w:val="42"/>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075-1120</w:t>
      </w:r>
      <w:r/>
    </w:p>
    <w:p>
      <w:pPr>
        <w:pStyle w:val="738"/>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275"/>
        <w:gridCol w:w="1410"/>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41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системного монітору</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монтажем та підключенням до інженерних</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8"/>
        <w:numPr>
          <w:ilvl w:val="0"/>
          <w:numId w:val="42"/>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171-1220</w:t>
      </w:r>
      <w:r/>
    </w:p>
    <w:p>
      <w:pPr>
        <w:pStyle w:val="738"/>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417"/>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 монтажем та підключенням до інженерних мереж</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38"/>
        <w:numPr>
          <w:ilvl w:val="0"/>
          <w:numId w:val="42"/>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248-1220</w:t>
      </w:r>
      <w:r/>
    </w:p>
    <w:p>
      <w:pPr>
        <w:pStyle w:val="738"/>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275"/>
        <w:gridCol w:w="1410"/>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41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 монтажем та підключенням до інженерних мереж</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 xml:space="preserve">Надати </w:t>
      </w:r>
      <w:r>
        <w:rPr>
          <w:rFonts w:ascii="Times New Roman" w:hAnsi="Times New Roman" w:eastAsia="Calibri" w:cs="Times New Roman"/>
          <w:b/>
          <w:bCs/>
          <w:i/>
          <w:iCs/>
          <w:sz w:val="24"/>
          <w:szCs w:val="24"/>
        </w:rPr>
        <w:t xml:space="preserve">гарантійни</w:t>
      </w:r>
      <w:r>
        <w:rPr>
          <w:rFonts w:ascii="Times New Roman" w:hAnsi="Times New Roman" w:eastAsia="Calibri" w:cs="Times New Roman"/>
          <w:b/>
          <w:bCs/>
          <w:i/>
          <w:iCs/>
          <w:sz w:val="24"/>
          <w:szCs w:val="24"/>
        </w:rPr>
        <w:t xml:space="preserve"> листи у складі тендерної </w:t>
      </w:r>
      <w:r>
        <w:rPr>
          <w:rFonts w:ascii="Times New Roman" w:hAnsi="Times New Roman" w:eastAsia="Calibri" w:cs="Times New Roman"/>
          <w:b/>
          <w:bCs/>
          <w:i/>
          <w:iCs/>
          <w:sz w:val="24"/>
          <w:szCs w:val="24"/>
        </w:rPr>
        <w:t xml:space="preserve">пропохиції</w:t>
      </w:r>
      <w:r/>
    </w:p>
    <w:p>
      <w:pPr>
        <w:pStyle w:val="738"/>
        <w:numPr>
          <w:ilvl w:val="0"/>
          <w:numId w:val="43"/>
        </w:numPr>
        <w:ind w:left="567" w:hanging="283"/>
        <w:jc w:val="both"/>
        <w:spacing w:after="0" w:line="240" w:lineRule="auto"/>
        <w:tabs>
          <w:tab w:val="left" w:pos="540" w:leader="none"/>
          <w:tab w:val="left" w:pos="684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повинен мати відповідні дозвільні документи на надання послуг, згідно з умовами Договору.</w:t>
      </w:r>
      <w:r/>
    </w:p>
    <w:p>
      <w:pPr>
        <w:pStyle w:val="738"/>
        <w:numPr>
          <w:ilvl w:val="0"/>
          <w:numId w:val="43"/>
        </w:numPr>
        <w:jc w:val="both"/>
        <w:spacing w:after="0" w:line="240" w:lineRule="auto"/>
        <w:tabs>
          <w:tab w:val="left" w:pos="0" w:leader="none"/>
          <w:tab w:val="left" w:pos="684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гарантує, що якість ремонтних робіт відповідає затвердженим нормам якості та вимогам.</w:t>
      </w:r>
      <w:r/>
    </w:p>
    <w:p>
      <w:pPr>
        <w:pStyle w:val="738"/>
        <w:numPr>
          <w:ilvl w:val="0"/>
          <w:numId w:val="43"/>
        </w:numPr>
        <w:jc w:val="both"/>
        <w:spacing w:after="0" w:line="240" w:lineRule="auto"/>
        <w:tabs>
          <w:tab w:val="left" w:pos="709"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r/>
    </w:p>
    <w:p>
      <w:pPr>
        <w:pStyle w:val="738"/>
        <w:numPr>
          <w:ilvl w:val="0"/>
          <w:numId w:val="43"/>
        </w:numPr>
        <w:jc w:val="both"/>
        <w:spacing w:after="0" w:line="240" w:lineRule="auto"/>
        <w:tabs>
          <w:tab w:val="left" w:pos="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 вимогу Замовника, Учасник, при надані послуг надає завірені копії документів, які засвідчують якісні, технічні характеристики</w:t>
      </w:r>
      <w:r>
        <w:rPr>
          <w:rFonts w:ascii="Times New Roman" w:hAnsi="Times New Roman" w:cs="Times New Roman"/>
          <w:color w:val="222222"/>
          <w:sz w:val="24"/>
          <w:szCs w:val="24"/>
          <w:lang w:val="uk-UA"/>
        </w:rPr>
        <w:t xml:space="preserve"> елементів</w:t>
      </w:r>
      <w:r>
        <w:rPr>
          <w:rFonts w:ascii="Times New Roman" w:hAnsi="Times New Roman" w:cs="Times New Roman"/>
          <w:sz w:val="24"/>
          <w:szCs w:val="24"/>
          <w:lang w:val="uk-UA"/>
        </w:rPr>
        <w:t xml:space="preserve">,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r/>
    </w:p>
    <w:p>
      <w:pPr>
        <w:pStyle w:val="738"/>
        <w:numPr>
          <w:ilvl w:val="0"/>
          <w:numId w:val="43"/>
        </w:numPr>
        <w:jc w:val="both"/>
        <w:spacing w:after="0" w:line="240" w:lineRule="auto"/>
        <w:tabs>
          <w:tab w:val="left" w:pos="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повинен включити у вартість послуг матеріали, устаткування та запасні частини необхідні для виконання послуг. </w:t>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Вимоги щодо якості надання послуг:</w:t>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Послуги з ремонту повинні забезпечувати безвідмовну роботу комплексів «КАСКАД».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ВИКОНАВЕЦЬ гарантує якість наданих послуг протягом 12 (дванадцяти) місяців.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У разі виявлення недоліків по якості наданих послуг ВИКОНАВЕЦЬ повинен усунути їх за власний рахунок у термін 5 (п’ять) робочих днів від дати подання письмової заявки від ЗАМОВНИКА.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Умови виконання робіт: в сервісному центрі та/або на місці встановлення комплексів «КАСКАД». </w:t>
      </w:r>
      <w:r>
        <w:rPr>
          <w:rFonts w:ascii="Times New Roman" w:hAnsi="Times New Roman" w:cs="Times New Roman"/>
          <w:b/>
          <w:bCs/>
          <w:i/>
          <w:iCs/>
          <w:sz w:val="24"/>
          <w:szCs w:val="24"/>
        </w:rPr>
        <w:t xml:space="preserve">(надати гарантійний лист)</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Демонтаж комплексів «КАСКАД» відбувається за рахунок Виконавця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85 918,17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вісімдесят п’ять тисяч дев’ятсот вісімнадцять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1">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5"/>
  </w:num>
  <w:num w:numId="2">
    <w:abstractNumId w:val="19"/>
  </w:num>
  <w:num w:numId="3">
    <w:abstractNumId w:val="8"/>
  </w:num>
  <w:num w:numId="4">
    <w:abstractNumId w:val="29"/>
  </w:num>
  <w:num w:numId="5">
    <w:abstractNumId w:val="7"/>
  </w:num>
  <w:num w:numId="6">
    <w:abstractNumId w:val="36"/>
  </w:num>
  <w:num w:numId="7">
    <w:abstractNumId w:val="11"/>
  </w:num>
  <w:num w:numId="8">
    <w:abstractNumId w:val="38"/>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7"/>
  </w:num>
  <w:num w:numId="17">
    <w:abstractNumId w:val="1"/>
  </w:num>
  <w:num w:numId="18">
    <w:abstractNumId w:val="42"/>
  </w:num>
  <w:num w:numId="19">
    <w:abstractNumId w:val="3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1"/>
  </w:num>
  <w:num w:numId="25">
    <w:abstractNumId w:val="21"/>
  </w:num>
  <w:num w:numId="26">
    <w:abstractNumId w:val="26"/>
  </w:num>
  <w:num w:numId="27">
    <w:abstractNumId w:val="33"/>
  </w:num>
  <w:num w:numId="28">
    <w:abstractNumId w:val="24"/>
  </w:num>
  <w:num w:numId="29">
    <w:abstractNumId w:val="34"/>
  </w:num>
  <w:num w:numId="30">
    <w:abstractNumId w:val="18"/>
  </w:num>
  <w:num w:numId="31">
    <w:abstractNumId w:val="3"/>
  </w:num>
  <w:num w:numId="32">
    <w:abstractNumId w:val="20"/>
  </w:num>
  <w:num w:numId="33">
    <w:abstractNumId w:val="17"/>
  </w:num>
  <w:num w:numId="34">
    <w:abstractNumId w:val="14"/>
  </w:num>
  <w:num w:numId="35">
    <w:abstractNumId w:val="40"/>
  </w:num>
  <w:num w:numId="36">
    <w:abstractNumId w:val="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1"/>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2"/>
  </w:num>
  <w:num w:numId="43">
    <w:abstractNumId w:val="1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1"/>
    <w:next w:val="73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5"/>
    <w:link w:val="12"/>
    <w:uiPriority w:val="9"/>
    <w:rPr>
      <w:rFonts w:ascii="Arial" w:hAnsi="Arial" w:eastAsia="Arial" w:cs="Arial"/>
      <w:sz w:val="40"/>
      <w:szCs w:val="40"/>
    </w:rPr>
  </w:style>
  <w:style w:type="character" w:styleId="15">
    <w:name w:val="Heading 2 Char"/>
    <w:basedOn w:val="735"/>
    <w:link w:val="732"/>
    <w:uiPriority w:val="9"/>
    <w:rPr>
      <w:rFonts w:ascii="Arial" w:hAnsi="Arial" w:eastAsia="Arial" w:cs="Arial"/>
      <w:sz w:val="34"/>
    </w:rPr>
  </w:style>
  <w:style w:type="character" w:styleId="17">
    <w:name w:val="Heading 3 Char"/>
    <w:basedOn w:val="735"/>
    <w:link w:val="733"/>
    <w:uiPriority w:val="9"/>
    <w:rPr>
      <w:rFonts w:ascii="Arial" w:hAnsi="Arial" w:eastAsia="Arial" w:cs="Arial"/>
      <w:sz w:val="30"/>
      <w:szCs w:val="30"/>
    </w:rPr>
  </w:style>
  <w:style w:type="character" w:styleId="19">
    <w:name w:val="Heading 4 Char"/>
    <w:basedOn w:val="735"/>
    <w:link w:val="734"/>
    <w:uiPriority w:val="9"/>
    <w:rPr>
      <w:rFonts w:ascii="Arial" w:hAnsi="Arial" w:eastAsia="Arial" w:cs="Arial"/>
      <w:b/>
      <w:bCs/>
      <w:sz w:val="26"/>
      <w:szCs w:val="26"/>
    </w:rPr>
  </w:style>
  <w:style w:type="paragraph" w:styleId="20">
    <w:name w:val="Heading 5"/>
    <w:basedOn w:val="731"/>
    <w:next w:val="73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5"/>
    <w:link w:val="20"/>
    <w:uiPriority w:val="9"/>
    <w:rPr>
      <w:rFonts w:ascii="Arial" w:hAnsi="Arial" w:eastAsia="Arial" w:cs="Arial"/>
      <w:b/>
      <w:bCs/>
      <w:sz w:val="24"/>
      <w:szCs w:val="24"/>
    </w:rPr>
  </w:style>
  <w:style w:type="paragraph" w:styleId="22">
    <w:name w:val="Heading 6"/>
    <w:basedOn w:val="731"/>
    <w:next w:val="73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5"/>
    <w:link w:val="22"/>
    <w:uiPriority w:val="9"/>
    <w:rPr>
      <w:rFonts w:ascii="Arial" w:hAnsi="Arial" w:eastAsia="Arial" w:cs="Arial"/>
      <w:b/>
      <w:bCs/>
      <w:sz w:val="22"/>
      <w:szCs w:val="22"/>
    </w:rPr>
  </w:style>
  <w:style w:type="paragraph" w:styleId="24">
    <w:name w:val="Heading 7"/>
    <w:basedOn w:val="731"/>
    <w:next w:val="73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5"/>
    <w:link w:val="24"/>
    <w:uiPriority w:val="9"/>
    <w:rPr>
      <w:rFonts w:ascii="Arial" w:hAnsi="Arial" w:eastAsia="Arial" w:cs="Arial"/>
      <w:b/>
      <w:bCs/>
      <w:i/>
      <w:iCs/>
      <w:sz w:val="22"/>
      <w:szCs w:val="22"/>
    </w:rPr>
  </w:style>
  <w:style w:type="paragraph" w:styleId="26">
    <w:name w:val="Heading 8"/>
    <w:basedOn w:val="731"/>
    <w:next w:val="73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5"/>
    <w:link w:val="26"/>
    <w:uiPriority w:val="9"/>
    <w:rPr>
      <w:rFonts w:ascii="Arial" w:hAnsi="Arial" w:eastAsia="Arial" w:cs="Arial"/>
      <w:i/>
      <w:iCs/>
      <w:sz w:val="22"/>
      <w:szCs w:val="22"/>
    </w:rPr>
  </w:style>
  <w:style w:type="paragraph" w:styleId="28">
    <w:name w:val="Heading 9"/>
    <w:basedOn w:val="731"/>
    <w:next w:val="73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5"/>
    <w:link w:val="28"/>
    <w:uiPriority w:val="9"/>
    <w:rPr>
      <w:rFonts w:ascii="Arial" w:hAnsi="Arial" w:eastAsia="Arial" w:cs="Arial"/>
      <w:i/>
      <w:iCs/>
      <w:sz w:val="21"/>
      <w:szCs w:val="21"/>
    </w:rPr>
  </w:style>
  <w:style w:type="paragraph" w:styleId="33">
    <w:name w:val="Title"/>
    <w:basedOn w:val="731"/>
    <w:next w:val="731"/>
    <w:link w:val="34"/>
    <w:uiPriority w:val="10"/>
    <w:qFormat/>
    <w:pPr>
      <w:contextualSpacing/>
      <w:spacing w:before="300" w:after="200"/>
    </w:pPr>
    <w:rPr>
      <w:sz w:val="48"/>
      <w:szCs w:val="48"/>
    </w:rPr>
  </w:style>
  <w:style w:type="character" w:styleId="34">
    <w:name w:val="Title Char"/>
    <w:basedOn w:val="735"/>
    <w:link w:val="33"/>
    <w:uiPriority w:val="10"/>
    <w:rPr>
      <w:sz w:val="48"/>
      <w:szCs w:val="48"/>
    </w:rPr>
  </w:style>
  <w:style w:type="paragraph" w:styleId="35">
    <w:name w:val="Subtitle"/>
    <w:basedOn w:val="731"/>
    <w:next w:val="731"/>
    <w:link w:val="36"/>
    <w:uiPriority w:val="11"/>
    <w:qFormat/>
    <w:pPr>
      <w:spacing w:before="200" w:after="200"/>
    </w:pPr>
    <w:rPr>
      <w:sz w:val="24"/>
      <w:szCs w:val="24"/>
    </w:rPr>
  </w:style>
  <w:style w:type="character" w:styleId="36">
    <w:name w:val="Subtitle Char"/>
    <w:basedOn w:val="735"/>
    <w:link w:val="35"/>
    <w:uiPriority w:val="11"/>
    <w:rPr>
      <w:sz w:val="24"/>
      <w:szCs w:val="24"/>
    </w:rPr>
  </w:style>
  <w:style w:type="paragraph" w:styleId="37">
    <w:name w:val="Quote"/>
    <w:basedOn w:val="731"/>
    <w:next w:val="731"/>
    <w:link w:val="38"/>
    <w:uiPriority w:val="29"/>
    <w:qFormat/>
    <w:pPr>
      <w:ind w:left="720" w:right="720"/>
    </w:pPr>
    <w:rPr>
      <w:i/>
    </w:rPr>
  </w:style>
  <w:style w:type="character" w:styleId="38">
    <w:name w:val="Quote Char"/>
    <w:link w:val="37"/>
    <w:uiPriority w:val="29"/>
    <w:rPr>
      <w:i/>
    </w:rPr>
  </w:style>
  <w:style w:type="paragraph" w:styleId="39">
    <w:name w:val="Intense Quote"/>
    <w:basedOn w:val="731"/>
    <w:next w:val="73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1"/>
    <w:link w:val="42"/>
    <w:uiPriority w:val="99"/>
    <w:unhideWhenUsed/>
    <w:pPr>
      <w:spacing w:after="0" w:line="240" w:lineRule="auto"/>
      <w:tabs>
        <w:tab w:val="center" w:pos="7143" w:leader="none"/>
        <w:tab w:val="right" w:pos="14287" w:leader="none"/>
      </w:tabs>
    </w:pPr>
  </w:style>
  <w:style w:type="character" w:styleId="42">
    <w:name w:val="Header Char"/>
    <w:basedOn w:val="735"/>
    <w:link w:val="41"/>
    <w:uiPriority w:val="99"/>
  </w:style>
  <w:style w:type="character" w:styleId="44">
    <w:name w:val="Footer Char"/>
    <w:basedOn w:val="735"/>
    <w:link w:val="744"/>
    <w:uiPriority w:val="99"/>
  </w:style>
  <w:style w:type="paragraph" w:styleId="45">
    <w:name w:val="Caption"/>
    <w:basedOn w:val="731"/>
    <w:next w:val="731"/>
    <w:uiPriority w:val="35"/>
    <w:semiHidden/>
    <w:unhideWhenUsed/>
    <w:qFormat/>
    <w:pPr>
      <w:spacing w:line="276" w:lineRule="auto"/>
    </w:pPr>
    <w:rPr>
      <w:b/>
      <w:bCs/>
      <w:color w:val="4f81bd" w:themeColor="accent1"/>
      <w:sz w:val="18"/>
      <w:szCs w:val="18"/>
    </w:rPr>
  </w:style>
  <w:style w:type="character" w:styleId="46">
    <w:name w:val="Caption Char"/>
    <w:basedOn w:val="45"/>
    <w:link w:val="744"/>
    <w:uiPriority w:val="99"/>
  </w:style>
  <w:style w:type="table" w:styleId="48">
    <w:name w:val="Table Grid Light"/>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5"/>
    <w:uiPriority w:val="99"/>
    <w:unhideWhenUsed/>
    <w:rPr>
      <w:vertAlign w:val="superscript"/>
    </w:rPr>
  </w:style>
  <w:style w:type="paragraph" w:styleId="177">
    <w:name w:val="endnote text"/>
    <w:basedOn w:val="73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5"/>
    <w:uiPriority w:val="99"/>
    <w:semiHidden/>
    <w:unhideWhenUsed/>
    <w:rPr>
      <w:vertAlign w:val="superscript"/>
    </w:rPr>
  </w:style>
  <w:style w:type="paragraph" w:styleId="180">
    <w:name w:val="toc 1"/>
    <w:basedOn w:val="731"/>
    <w:next w:val="731"/>
    <w:uiPriority w:val="39"/>
    <w:unhideWhenUsed/>
    <w:pPr>
      <w:ind w:left="0" w:right="0" w:firstLine="0"/>
      <w:spacing w:after="57"/>
    </w:pPr>
  </w:style>
  <w:style w:type="paragraph" w:styleId="181">
    <w:name w:val="toc 2"/>
    <w:basedOn w:val="731"/>
    <w:next w:val="731"/>
    <w:uiPriority w:val="39"/>
    <w:unhideWhenUsed/>
    <w:pPr>
      <w:ind w:left="283" w:right="0" w:firstLine="0"/>
      <w:spacing w:after="57"/>
    </w:pPr>
  </w:style>
  <w:style w:type="paragraph" w:styleId="182">
    <w:name w:val="toc 3"/>
    <w:basedOn w:val="731"/>
    <w:next w:val="731"/>
    <w:uiPriority w:val="39"/>
    <w:unhideWhenUsed/>
    <w:pPr>
      <w:ind w:left="567" w:right="0" w:firstLine="0"/>
      <w:spacing w:after="57"/>
    </w:pPr>
  </w:style>
  <w:style w:type="paragraph" w:styleId="183">
    <w:name w:val="toc 4"/>
    <w:basedOn w:val="731"/>
    <w:next w:val="731"/>
    <w:uiPriority w:val="39"/>
    <w:unhideWhenUsed/>
    <w:pPr>
      <w:ind w:left="850" w:right="0" w:firstLine="0"/>
      <w:spacing w:after="57"/>
    </w:pPr>
  </w:style>
  <w:style w:type="paragraph" w:styleId="184">
    <w:name w:val="toc 5"/>
    <w:basedOn w:val="731"/>
    <w:next w:val="731"/>
    <w:uiPriority w:val="39"/>
    <w:unhideWhenUsed/>
    <w:pPr>
      <w:ind w:left="1134" w:right="0" w:firstLine="0"/>
      <w:spacing w:after="57"/>
    </w:pPr>
  </w:style>
  <w:style w:type="paragraph" w:styleId="185">
    <w:name w:val="toc 6"/>
    <w:basedOn w:val="731"/>
    <w:next w:val="731"/>
    <w:uiPriority w:val="39"/>
    <w:unhideWhenUsed/>
    <w:pPr>
      <w:ind w:left="1417" w:right="0" w:firstLine="0"/>
      <w:spacing w:after="57"/>
    </w:pPr>
  </w:style>
  <w:style w:type="paragraph" w:styleId="186">
    <w:name w:val="toc 7"/>
    <w:basedOn w:val="731"/>
    <w:next w:val="731"/>
    <w:uiPriority w:val="39"/>
    <w:unhideWhenUsed/>
    <w:pPr>
      <w:ind w:left="1701" w:right="0" w:firstLine="0"/>
      <w:spacing w:after="57"/>
    </w:pPr>
  </w:style>
  <w:style w:type="paragraph" w:styleId="187">
    <w:name w:val="toc 8"/>
    <w:basedOn w:val="731"/>
    <w:next w:val="731"/>
    <w:uiPriority w:val="39"/>
    <w:unhideWhenUsed/>
    <w:pPr>
      <w:ind w:left="1984" w:right="0" w:firstLine="0"/>
      <w:spacing w:after="57"/>
    </w:pPr>
  </w:style>
  <w:style w:type="paragraph" w:styleId="188">
    <w:name w:val="toc 9"/>
    <w:basedOn w:val="731"/>
    <w:next w:val="73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1"/>
    <w:next w:val="731"/>
    <w:uiPriority w:val="99"/>
    <w:unhideWhenUsed/>
    <w:pPr>
      <w:spacing w:after="0" w:afterAutospacing="0"/>
    </w:pPr>
  </w:style>
  <w:style w:type="paragraph" w:styleId="731" w:default="1">
    <w:name w:val="Normal"/>
    <w:qFormat/>
    <w:rPr>
      <w:lang w:val="uk-UA"/>
    </w:rPr>
  </w:style>
  <w:style w:type="paragraph" w:styleId="732">
    <w:name w:val="Heading 2"/>
    <w:basedOn w:val="731"/>
    <w:link w:val="75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3">
    <w:name w:val="Heading 3"/>
    <w:basedOn w:val="731"/>
    <w:next w:val="731"/>
    <w:link w:val="77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4">
    <w:name w:val="Heading 4"/>
    <w:basedOn w:val="731"/>
    <w:next w:val="731"/>
    <w:link w:val="77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5" w:default="1">
    <w:name w:val="Default Paragraph Font"/>
    <w:uiPriority w:val="1"/>
    <w:semiHidden/>
    <w:unhideWhenUsed/>
  </w:style>
  <w:style w:type="table" w:styleId="736" w:default="1">
    <w:name w:val="Normal Table"/>
    <w:uiPriority w:val="99"/>
    <w:semiHidden/>
    <w:unhideWhenUsed/>
    <w:tblPr>
      <w:tblInd w:w="0" w:type="dxa"/>
      <w:tblCellMar>
        <w:left w:w="108" w:type="dxa"/>
        <w:top w:w="0" w:type="dxa"/>
        <w:right w:w="108" w:type="dxa"/>
        <w:bottom w:w="0" w:type="dxa"/>
      </w:tblCellMar>
    </w:tblPr>
  </w:style>
  <w:style w:type="numbering" w:styleId="737" w:default="1">
    <w:name w:val="No List"/>
    <w:uiPriority w:val="99"/>
    <w:semiHidden/>
    <w:unhideWhenUsed/>
  </w:style>
  <w:style w:type="paragraph" w:styleId="738">
    <w:name w:val="List Paragraph"/>
    <w:basedOn w:val="731"/>
    <w:link w:val="739"/>
    <w:uiPriority w:val="34"/>
    <w:qFormat/>
    <w:pPr>
      <w:contextualSpacing/>
      <w:ind w:left="720"/>
      <w:spacing w:after="200" w:line="276" w:lineRule="auto"/>
    </w:pPr>
    <w:rPr>
      <w:rFonts w:ascii="Calibri" w:hAnsi="Calibri" w:eastAsia="Calibri" w:cs="Calibri"/>
      <w:lang w:val="ru-RU" w:eastAsia="zh-CN"/>
    </w:rPr>
  </w:style>
  <w:style w:type="character" w:styleId="739" w:customStyle="1">
    <w:name w:val="Абзац списку Знак"/>
    <w:link w:val="738"/>
    <w:uiPriority w:val="34"/>
    <w:qFormat/>
    <w:rPr>
      <w:rFonts w:ascii="Calibri" w:hAnsi="Calibri" w:eastAsia="Calibri" w:cs="Calibri"/>
      <w:lang w:eastAsia="zh-CN"/>
    </w:rPr>
  </w:style>
  <w:style w:type="table" w:styleId="740">
    <w:name w:val="Table Grid"/>
    <w:basedOn w:val="73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1" w:customStyle="1">
    <w:name w:val="Сетка таблицы2"/>
    <w:basedOn w:val="736"/>
    <w:next w:val="74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Normal (Web)"/>
    <w:basedOn w:val="731"/>
    <w:link w:val="749"/>
    <w:unhideWhenUsed/>
    <w:qFormat/>
    <w:rPr>
      <w:rFonts w:ascii="Times New Roman" w:hAnsi="Times New Roman" w:cs="Times New Roman"/>
      <w:sz w:val="24"/>
      <w:szCs w:val="24"/>
    </w:rPr>
  </w:style>
  <w:style w:type="table" w:styleId="743" w:customStyle="1">
    <w:name w:val="Сетка таблицы1"/>
    <w:basedOn w:val="736"/>
    <w:next w:val="74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Footer"/>
    <w:basedOn w:val="731"/>
    <w:link w:val="74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5" w:customStyle="1">
    <w:name w:val="Нижній колонтитул Знак"/>
    <w:basedOn w:val="735"/>
    <w:link w:val="744"/>
    <w:uiPriority w:val="99"/>
    <w:rPr>
      <w:rFonts w:ascii="Calibri" w:hAnsi="Calibri" w:eastAsia="Calibri" w:cs="Calibri"/>
      <w:lang w:eastAsia="zh-CN"/>
    </w:rPr>
  </w:style>
  <w:style w:type="paragraph" w:styleId="74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7">
    <w:name w:val="Hyperlink"/>
    <w:basedOn w:val="735"/>
    <w:uiPriority w:val="99"/>
    <w:unhideWhenUsed/>
    <w:rPr>
      <w:color w:val="0563c1" w:themeColor="hyperlink"/>
      <w:u w:val="single"/>
    </w:rPr>
  </w:style>
  <w:style w:type="character" w:styleId="748" w:customStyle="1">
    <w:name w:val="xfm_93972720"/>
    <w:basedOn w:val="735"/>
  </w:style>
  <w:style w:type="character" w:styleId="749" w:customStyle="1">
    <w:name w:val="Звичайний (веб) Знак"/>
    <w:link w:val="742"/>
    <w:qFormat/>
    <w:rPr>
      <w:rFonts w:ascii="Times New Roman" w:hAnsi="Times New Roman" w:cs="Times New Roman"/>
      <w:sz w:val="24"/>
      <w:szCs w:val="24"/>
      <w:lang w:val="uk-UA"/>
    </w:rPr>
  </w:style>
  <w:style w:type="paragraph" w:styleId="750">
    <w:name w:val="Body Text 2"/>
    <w:basedOn w:val="731"/>
    <w:link w:val="751"/>
    <w:pPr>
      <w:spacing w:after="0" w:line="240" w:lineRule="auto"/>
    </w:pPr>
    <w:rPr>
      <w:rFonts w:ascii="Times New Roman" w:hAnsi="Times New Roman" w:eastAsia="Times New Roman" w:cs="Times New Roman"/>
      <w:sz w:val="28"/>
      <w:szCs w:val="20"/>
      <w:lang w:val="ru-RU" w:eastAsia="ru-RU"/>
    </w:rPr>
  </w:style>
  <w:style w:type="character" w:styleId="751" w:customStyle="1">
    <w:name w:val="Основний текст 2 Знак"/>
    <w:basedOn w:val="735"/>
    <w:link w:val="750"/>
    <w:rPr>
      <w:rFonts w:ascii="Times New Roman" w:hAnsi="Times New Roman" w:eastAsia="Times New Roman" w:cs="Times New Roman"/>
      <w:sz w:val="28"/>
      <w:szCs w:val="20"/>
      <w:lang w:eastAsia="ru-RU"/>
    </w:rPr>
  </w:style>
  <w:style w:type="paragraph" w:styleId="75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3" w:customStyle="1">
    <w:name w:val="Заголовок 2 Знак"/>
    <w:basedOn w:val="735"/>
    <w:link w:val="732"/>
    <w:uiPriority w:val="9"/>
    <w:rPr>
      <w:rFonts w:ascii="Times New Roman" w:hAnsi="Times New Roman" w:eastAsia="Times New Roman" w:cs="Times New Roman"/>
      <w:b/>
      <w:bCs/>
      <w:sz w:val="36"/>
      <w:szCs w:val="36"/>
      <w:lang w:val="uk-UA" w:eastAsia="uk-UA"/>
    </w:rPr>
  </w:style>
  <w:style w:type="paragraph" w:styleId="754">
    <w:name w:val="No Spacing"/>
    <w:link w:val="755"/>
    <w:uiPriority w:val="1"/>
    <w:qFormat/>
    <w:pPr>
      <w:spacing w:after="0" w:line="240" w:lineRule="auto"/>
    </w:pPr>
    <w:rPr>
      <w:rFonts w:ascii="Calibri" w:hAnsi="Calibri" w:eastAsia="Calibri" w:cs="Times New Roman"/>
      <w:lang w:val="uk-UA"/>
    </w:rPr>
  </w:style>
  <w:style w:type="character" w:styleId="755" w:customStyle="1">
    <w:name w:val="Без інтервалів Знак"/>
    <w:basedOn w:val="735"/>
    <w:link w:val="754"/>
    <w:uiPriority w:val="1"/>
    <w:rPr>
      <w:rFonts w:ascii="Calibri" w:hAnsi="Calibri" w:eastAsia="Calibri" w:cs="Times New Roman"/>
      <w:lang w:val="uk-UA"/>
    </w:rPr>
  </w:style>
  <w:style w:type="character" w:styleId="756" w:customStyle="1">
    <w:name w:val="Другое_"/>
    <w:basedOn w:val="735"/>
    <w:link w:val="757"/>
    <w:rPr>
      <w:rFonts w:ascii="Calibri" w:hAnsi="Calibri" w:eastAsia="Calibri" w:cs="Calibri"/>
      <w:sz w:val="20"/>
      <w:szCs w:val="20"/>
    </w:rPr>
  </w:style>
  <w:style w:type="paragraph" w:styleId="757" w:customStyle="1">
    <w:name w:val="Другое"/>
    <w:basedOn w:val="731"/>
    <w:link w:val="756"/>
    <w:qFormat/>
    <w:pPr>
      <w:spacing w:after="0" w:line="240" w:lineRule="auto"/>
      <w:widowControl w:val="off"/>
    </w:pPr>
    <w:rPr>
      <w:rFonts w:ascii="Calibri" w:hAnsi="Calibri" w:eastAsia="Calibri" w:cs="Calibri"/>
      <w:sz w:val="20"/>
      <w:szCs w:val="20"/>
      <w:lang w:val="ru-RU"/>
    </w:rPr>
  </w:style>
  <w:style w:type="paragraph" w:styleId="75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9" w:customStyle="1">
    <w:name w:val="Основной текст (2)_"/>
    <w:basedOn w:val="735"/>
    <w:link w:val="760"/>
    <w:rPr>
      <w:rFonts w:eastAsia="Times New Roman" w:cs="Times New Roman"/>
      <w:shd w:val="clear" w:color="auto" w:fill="ffffff"/>
    </w:rPr>
  </w:style>
  <w:style w:type="paragraph" w:styleId="760" w:customStyle="1">
    <w:name w:val="Основной текст (2)"/>
    <w:basedOn w:val="731"/>
    <w:link w:val="759"/>
    <w:pPr>
      <w:ind w:hanging="700"/>
      <w:jc w:val="both"/>
      <w:spacing w:before="240" w:after="480" w:line="0" w:lineRule="atLeast"/>
      <w:shd w:val="clear" w:color="auto" w:fill="ffffff"/>
      <w:widowControl w:val="off"/>
    </w:pPr>
    <w:rPr>
      <w:rFonts w:eastAsia="Times New Roman" w:cs="Times New Roman"/>
      <w:lang w:val="ru-RU"/>
    </w:rPr>
  </w:style>
  <w:style w:type="character" w:styleId="761" w:customStyle="1">
    <w:name w:val="Текст у виносці Знак"/>
    <w:basedOn w:val="735"/>
    <w:link w:val="762"/>
    <w:uiPriority w:val="99"/>
    <w:semiHidden/>
    <w:rPr>
      <w:rFonts w:ascii="Segoe UI" w:hAnsi="Segoe UI" w:eastAsia="Times New Roman" w:cs="Segoe UI"/>
      <w:sz w:val="18"/>
      <w:szCs w:val="18"/>
      <w:lang w:eastAsia="ru-RU"/>
    </w:rPr>
  </w:style>
  <w:style w:type="paragraph" w:styleId="762">
    <w:name w:val="Balloon Text"/>
    <w:basedOn w:val="731"/>
    <w:link w:val="76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3" w:customStyle="1">
    <w:name w:val="Текст у виносці Знак1"/>
    <w:basedOn w:val="735"/>
    <w:uiPriority w:val="99"/>
    <w:semiHidden/>
    <w:rPr>
      <w:rFonts w:ascii="Segoe UI" w:hAnsi="Segoe UI" w:cs="Segoe UI"/>
      <w:sz w:val="18"/>
      <w:szCs w:val="18"/>
      <w:lang w:val="uk-UA"/>
    </w:rPr>
  </w:style>
  <w:style w:type="character" w:styleId="764" w:customStyle="1">
    <w:name w:val="T23"/>
    <w:rPr>
      <w:rFonts w:hint="default" w:ascii="Times New Roman" w:hAnsi="Times New Roman" w:eastAsia="Times New Roman1" w:cs="Times New Roman"/>
    </w:rPr>
  </w:style>
  <w:style w:type="paragraph" w:styleId="765" w:customStyle="1">
    <w:name w:val="Абзац списку1"/>
    <w:basedOn w:val="73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6" w:customStyle="1">
    <w:name w:val="markedcontent"/>
    <w:basedOn w:val="735"/>
  </w:style>
  <w:style w:type="paragraph" w:styleId="767">
    <w:name w:val="annotation text"/>
    <w:basedOn w:val="731"/>
    <w:link w:val="76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8" w:customStyle="1">
    <w:name w:val="Текст примітки Знак"/>
    <w:basedOn w:val="735"/>
    <w:link w:val="767"/>
    <w:uiPriority w:val="99"/>
    <w:rPr>
      <w:rFonts w:ascii="Times New Roman" w:hAnsi="Times New Roman" w:eastAsia="Times New Roman" w:cs="Times New Roman"/>
      <w:sz w:val="20"/>
      <w:szCs w:val="20"/>
      <w:lang w:eastAsia="ru-RU"/>
    </w:rPr>
  </w:style>
  <w:style w:type="character" w:styleId="769" w:customStyle="1">
    <w:name w:val="docdata"/>
    <w:basedOn w:val="735"/>
  </w:style>
  <w:style w:type="character" w:styleId="770" w:customStyle="1">
    <w:name w:val="Заголовок 3 Знак"/>
    <w:basedOn w:val="735"/>
    <w:link w:val="733"/>
    <w:uiPriority w:val="9"/>
    <w:semiHidden/>
    <w:rPr>
      <w:rFonts w:asciiTheme="majorHAnsi" w:hAnsiTheme="majorHAnsi" w:eastAsiaTheme="majorEastAsia" w:cstheme="majorBidi"/>
      <w:color w:val="1f4d78" w:themeColor="accent1" w:themeShade="7F"/>
      <w:sz w:val="24"/>
      <w:szCs w:val="24"/>
      <w:lang w:val="uk-UA"/>
    </w:rPr>
  </w:style>
  <w:style w:type="character" w:styleId="771" w:customStyle="1">
    <w:name w:val="Заголовок 4 Знак"/>
    <w:basedOn w:val="735"/>
    <w:link w:val="734"/>
    <w:uiPriority w:val="9"/>
    <w:semiHidden/>
    <w:rPr>
      <w:rFonts w:asciiTheme="majorHAnsi" w:hAnsiTheme="majorHAnsi" w:eastAsiaTheme="majorEastAsia" w:cstheme="majorBidi"/>
      <w:i/>
      <w:iCs/>
      <w:color w:val="2e74b5" w:themeColor="accent1" w:themeShade="BF"/>
      <w:lang w:val="uk-UA"/>
    </w:rPr>
  </w:style>
  <w:style w:type="paragraph" w:styleId="772" w:customStyle="1">
    <w:name w:val="name-spec"/>
    <w:basedOn w:val="73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3" w:customStyle="1">
    <w:name w:val="cont-spec"/>
    <w:basedOn w:val="73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4">
    <w:name w:val="Strong"/>
    <w:basedOn w:val="735"/>
    <w:uiPriority w:val="22"/>
    <w:qFormat/>
    <w:rPr>
      <w:b/>
      <w:bCs/>
    </w:rPr>
  </w:style>
  <w:style w:type="paragraph" w:styleId="775" w:customStyle="1">
    <w:name w:val="rvps6"/>
    <w:basedOn w:val="731"/>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6"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hyperlink" Target="https://www.dzo.com.ua/tenders/17227183" TargetMode="External"/><Relationship Id="rId13"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2024-04-15T12:19:41Z</dcterms:modified>
</cp:coreProperties>
</file>