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EF7CC85"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F1161" w:rsidRPr="008F1161">
        <w:rPr>
          <w:b w:val="0"/>
          <w:bCs w:val="0"/>
          <w:sz w:val="24"/>
          <w:szCs w:val="24"/>
        </w:rPr>
        <w:t>Закупівля послуг сервісної технічної підтримки  для обладнання за кодом CPV за ЄЗС ДК 021:2015: 72260000-5 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161D30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58541D">
        <w:rPr>
          <w:rFonts w:ascii="Times New Roman" w:hAnsi="Times New Roman" w:cs="Times New Roman"/>
          <w:sz w:val="24"/>
          <w:szCs w:val="24"/>
        </w:rPr>
        <w:t>6</w:t>
      </w:r>
      <w:r w:rsidR="00F60A0F" w:rsidRPr="00F90C90">
        <w:rPr>
          <w:rFonts w:ascii="Times New Roman" w:hAnsi="Times New Roman" w:cs="Times New Roman"/>
          <w:sz w:val="24"/>
          <w:szCs w:val="24"/>
        </w:rPr>
        <w:t>-</w:t>
      </w:r>
      <w:r w:rsidR="0058541D">
        <w:rPr>
          <w:rFonts w:ascii="Times New Roman" w:hAnsi="Times New Roman" w:cs="Times New Roman"/>
          <w:sz w:val="24"/>
          <w:szCs w:val="24"/>
        </w:rPr>
        <w:t>015562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EA07A10" w:rsidR="0084770C" w:rsidRPr="00F14A71"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8F1161">
        <w:rPr>
          <w:rFonts w:ascii="Times New Roman" w:eastAsia="Times New Roman" w:hAnsi="Times New Roman" w:cs="Times New Roman"/>
          <w:bCs/>
          <w:sz w:val="24"/>
          <w:lang w:eastAsia="ru-RU"/>
        </w:rPr>
        <w:t xml:space="preserve">:  </w:t>
      </w:r>
      <w:r w:rsidR="008F1161" w:rsidRPr="008F1161">
        <w:rPr>
          <w:rFonts w:ascii="Times New Roman" w:hAnsi="Times New Roman" w:cs="Times New Roman"/>
          <w:bCs/>
          <w:sz w:val="24"/>
          <w:szCs w:val="24"/>
        </w:rPr>
        <w:t>Закупівля послуг сервісної технічної підтримки  для обладнання за кодом CPV за ЄЗС ДК 021:2015: 72260000-5 Послуги, пов’язані з програмним забезпеченням</w:t>
      </w:r>
    </w:p>
    <w:p w14:paraId="68506279" w14:textId="77777777" w:rsidR="008F1161" w:rsidRPr="008F1161" w:rsidRDefault="008F1161" w:rsidP="008F1161">
      <w:pPr>
        <w:spacing w:after="0" w:line="240" w:lineRule="auto"/>
        <w:ind w:firstLine="357"/>
        <w:jc w:val="center"/>
        <w:rPr>
          <w:rFonts w:ascii="Times New Roman" w:hAnsi="Times New Roman" w:cs="Times New Roman"/>
          <w:b/>
          <w:color w:val="000000"/>
          <w:sz w:val="24"/>
          <w:szCs w:val="24"/>
        </w:rPr>
      </w:pPr>
      <w:bookmarkStart w:id="0" w:name="_Hlk182212505"/>
      <w:r w:rsidRPr="008F1161">
        <w:rPr>
          <w:rFonts w:ascii="Times New Roman" w:hAnsi="Times New Roman" w:cs="Times New Roman"/>
          <w:b/>
          <w:color w:val="000000"/>
          <w:sz w:val="24"/>
          <w:szCs w:val="24"/>
        </w:rPr>
        <w:t>ТЕХНІЧНІ ВИМОГИ</w:t>
      </w:r>
    </w:p>
    <w:p w14:paraId="6EDEABD3" w14:textId="77777777" w:rsidR="008F1161" w:rsidRPr="008F1161" w:rsidRDefault="008F1161" w:rsidP="008F1161">
      <w:pPr>
        <w:spacing w:after="0" w:line="240" w:lineRule="auto"/>
        <w:ind w:firstLine="357"/>
        <w:jc w:val="center"/>
        <w:rPr>
          <w:rFonts w:ascii="Times New Roman" w:hAnsi="Times New Roman" w:cs="Times New Roman"/>
          <w:b/>
          <w:color w:val="000000"/>
          <w:sz w:val="24"/>
          <w:szCs w:val="24"/>
        </w:rPr>
      </w:pPr>
    </w:p>
    <w:p w14:paraId="6F729EC2" w14:textId="77777777" w:rsidR="008F1161" w:rsidRPr="008F1161" w:rsidRDefault="008F1161" w:rsidP="008F1161">
      <w:pPr>
        <w:pStyle w:val="a6"/>
        <w:spacing w:after="0" w:line="240" w:lineRule="auto"/>
        <w:jc w:val="center"/>
        <w:rPr>
          <w:b/>
          <w:bCs/>
          <w:i/>
          <w:iCs/>
          <w:lang w:eastAsia="ru-RU"/>
        </w:rPr>
      </w:pPr>
      <w:r w:rsidRPr="008F1161">
        <w:rPr>
          <w:b/>
          <w:bCs/>
        </w:rPr>
        <w:t xml:space="preserve">Сервісні пакети технічної підтримки </w:t>
      </w:r>
      <w:proofErr w:type="spellStart"/>
      <w:r w:rsidRPr="008F1161">
        <w:rPr>
          <w:b/>
          <w:bCs/>
        </w:rPr>
        <w:t>Cisco</w:t>
      </w:r>
      <w:proofErr w:type="spellEnd"/>
      <w:r w:rsidRPr="008F1161">
        <w:rPr>
          <w:b/>
          <w:bCs/>
        </w:rPr>
        <w:t xml:space="preserve"> </w:t>
      </w:r>
      <w:proofErr w:type="spellStart"/>
      <w:r w:rsidRPr="008F1161">
        <w:rPr>
          <w:b/>
          <w:bCs/>
        </w:rPr>
        <w:t>Systems</w:t>
      </w:r>
      <w:proofErr w:type="spellEnd"/>
    </w:p>
    <w:p w14:paraId="1B4161E7" w14:textId="77777777" w:rsidR="008F1161" w:rsidRPr="008F1161" w:rsidRDefault="008F1161" w:rsidP="008F1161">
      <w:pPr>
        <w:spacing w:after="0" w:line="240" w:lineRule="auto"/>
        <w:ind w:firstLine="567"/>
        <w:jc w:val="center"/>
        <w:rPr>
          <w:rFonts w:ascii="Times New Roman" w:hAnsi="Times New Roman" w:cs="Times New Roman"/>
          <w:b/>
          <w:bCs/>
          <w:sz w:val="24"/>
          <w:szCs w:val="24"/>
        </w:rPr>
      </w:pPr>
    </w:p>
    <w:bookmarkEnd w:id="0"/>
    <w:p w14:paraId="3655A446" w14:textId="77777777" w:rsidR="008F1161" w:rsidRPr="008F1161" w:rsidRDefault="008F1161" w:rsidP="008F1161">
      <w:pPr>
        <w:spacing w:after="0" w:line="240" w:lineRule="auto"/>
        <w:ind w:left="-567" w:firstLine="425"/>
        <w:jc w:val="both"/>
        <w:rPr>
          <w:rFonts w:ascii="Times New Roman" w:hAnsi="Times New Roman" w:cs="Times New Roman"/>
          <w:sz w:val="24"/>
          <w:szCs w:val="24"/>
        </w:rPr>
      </w:pPr>
      <w:r w:rsidRPr="008F1161">
        <w:rPr>
          <w:rFonts w:ascii="Times New Roman" w:hAnsi="Times New Roman" w:cs="Times New Roman"/>
          <w:sz w:val="24"/>
          <w:szCs w:val="24"/>
        </w:rPr>
        <w:t xml:space="preserve">Сервісні пакети технічної підтримки для обладнання (рішень) </w:t>
      </w:r>
      <w:proofErr w:type="spellStart"/>
      <w:r w:rsidRPr="008F1161">
        <w:rPr>
          <w:rFonts w:ascii="Times New Roman" w:hAnsi="Times New Roman" w:cs="Times New Roman"/>
          <w:sz w:val="24"/>
          <w:szCs w:val="24"/>
        </w:rPr>
        <w:t>Cisco</w:t>
      </w:r>
      <w:proofErr w:type="spellEnd"/>
      <w:r w:rsidRPr="008F1161">
        <w:rPr>
          <w:rFonts w:ascii="Times New Roman" w:hAnsi="Times New Roman" w:cs="Times New Roman"/>
          <w:sz w:val="24"/>
          <w:szCs w:val="24"/>
        </w:rPr>
        <w:t xml:space="preserve"> </w:t>
      </w:r>
      <w:proofErr w:type="spellStart"/>
      <w:r w:rsidRPr="008F1161">
        <w:rPr>
          <w:rFonts w:ascii="Times New Roman" w:hAnsi="Times New Roman" w:cs="Times New Roman"/>
          <w:sz w:val="24"/>
          <w:szCs w:val="24"/>
        </w:rPr>
        <w:t>Syste</w:t>
      </w:r>
      <w:proofErr w:type="spellEnd"/>
      <w:r w:rsidRPr="008F1161">
        <w:rPr>
          <w:rFonts w:ascii="Times New Roman" w:hAnsi="Times New Roman" w:cs="Times New Roman"/>
          <w:sz w:val="24"/>
          <w:szCs w:val="24"/>
          <w:lang w:val="en-US"/>
        </w:rPr>
        <w:t>m</w:t>
      </w:r>
      <w:r w:rsidRPr="008F1161">
        <w:rPr>
          <w:rFonts w:ascii="Times New Roman" w:hAnsi="Times New Roman" w:cs="Times New Roman"/>
          <w:sz w:val="24"/>
          <w:szCs w:val="24"/>
        </w:rPr>
        <w:t xml:space="preserve">s мають надаватися Виробником, для можливості здійснення Замовником прямого доступу до всіх опцій гарантії та ресурсів </w:t>
      </w:r>
      <w:proofErr w:type="spellStart"/>
      <w:r w:rsidRPr="008F1161">
        <w:rPr>
          <w:rFonts w:ascii="Times New Roman" w:hAnsi="Times New Roman" w:cs="Times New Roman"/>
          <w:sz w:val="24"/>
          <w:szCs w:val="24"/>
        </w:rPr>
        <w:t>Cisco</w:t>
      </w:r>
      <w:proofErr w:type="spellEnd"/>
      <w:r w:rsidRPr="008F1161">
        <w:rPr>
          <w:rFonts w:ascii="Times New Roman" w:hAnsi="Times New Roman" w:cs="Times New Roman"/>
          <w:sz w:val="24"/>
          <w:szCs w:val="24"/>
        </w:rPr>
        <w:t xml:space="preserve"> </w:t>
      </w:r>
      <w:proofErr w:type="spellStart"/>
      <w:r w:rsidRPr="008F1161">
        <w:rPr>
          <w:rFonts w:ascii="Times New Roman" w:hAnsi="Times New Roman" w:cs="Times New Roman"/>
          <w:sz w:val="24"/>
          <w:szCs w:val="24"/>
        </w:rPr>
        <w:t>Systems</w:t>
      </w:r>
      <w:proofErr w:type="spellEnd"/>
      <w:r w:rsidRPr="008F1161">
        <w:rPr>
          <w:rFonts w:ascii="Times New Roman" w:hAnsi="Times New Roman" w:cs="Times New Roman"/>
          <w:sz w:val="24"/>
          <w:szCs w:val="24"/>
        </w:rPr>
        <w:t xml:space="preserve"> без посередника, а саме:</w:t>
      </w:r>
    </w:p>
    <w:p w14:paraId="0E8BE49A" w14:textId="77777777" w:rsidR="008F1161" w:rsidRPr="008F1161" w:rsidRDefault="008F1161" w:rsidP="008F1161">
      <w:pPr>
        <w:spacing w:after="0" w:line="240" w:lineRule="auto"/>
        <w:ind w:left="-567" w:firstLine="425"/>
        <w:jc w:val="both"/>
        <w:rPr>
          <w:rFonts w:ascii="Times New Roman" w:hAnsi="Times New Roman" w:cs="Times New Roman"/>
          <w:sz w:val="24"/>
          <w:szCs w:val="24"/>
        </w:rPr>
      </w:pPr>
      <w:r w:rsidRPr="008F1161">
        <w:rPr>
          <w:rFonts w:ascii="Times New Roman" w:hAnsi="Times New Roman" w:cs="Times New Roman"/>
          <w:sz w:val="24"/>
          <w:szCs w:val="24"/>
        </w:rPr>
        <w:t>- Виробник повинен забезпечити сервісну підтримку з режимом роботи 24х7 (цілодобово) з питань роботи апаратного забезпечення;</w:t>
      </w:r>
    </w:p>
    <w:p w14:paraId="27CDB340" w14:textId="77777777" w:rsidR="008F1161" w:rsidRPr="008F1161" w:rsidRDefault="008F1161" w:rsidP="008F1161">
      <w:pPr>
        <w:spacing w:after="0" w:line="240" w:lineRule="auto"/>
        <w:ind w:left="-567" w:firstLine="425"/>
        <w:jc w:val="both"/>
        <w:rPr>
          <w:rFonts w:ascii="Times New Roman" w:hAnsi="Times New Roman" w:cs="Times New Roman"/>
          <w:sz w:val="24"/>
          <w:szCs w:val="24"/>
        </w:rPr>
      </w:pPr>
      <w:r w:rsidRPr="008F1161">
        <w:rPr>
          <w:rFonts w:ascii="Times New Roman" w:hAnsi="Times New Roman" w:cs="Times New Roman"/>
          <w:sz w:val="24"/>
          <w:szCs w:val="24"/>
        </w:rPr>
        <w:t>- забезпечити авансову заміну обладнання з відвантаженням зі складу виробника на не</w:t>
      </w:r>
      <w:r w:rsidRPr="008F1161">
        <w:rPr>
          <w:rFonts w:ascii="Times New Roman" w:hAnsi="Times New Roman" w:cs="Times New Roman"/>
          <w:sz w:val="24"/>
          <w:szCs w:val="24"/>
          <w:lang w:val="en-US"/>
        </w:rPr>
        <w:t xml:space="preserve"> </w:t>
      </w:r>
      <w:r w:rsidRPr="008F1161">
        <w:rPr>
          <w:rFonts w:ascii="Times New Roman" w:hAnsi="Times New Roman" w:cs="Times New Roman"/>
          <w:sz w:val="24"/>
          <w:szCs w:val="24"/>
        </w:rPr>
        <w:t xml:space="preserve">пізніше ніж на наступний робочий день після оформлення відповідної сервісної заявки у разі оформлення сервісної заявки з 10:00 до 15:00 за місцевим часом. У разі оформлення сервісної заявки після 15:00 за місцевим часом </w:t>
      </w:r>
      <w:r w:rsidRPr="008F1161">
        <w:rPr>
          <w:rFonts w:ascii="Times New Roman" w:hAnsi="Times New Roman" w:cs="Times New Roman"/>
          <w:sz w:val="24"/>
          <w:szCs w:val="24"/>
          <w:lang w:val="en-US"/>
        </w:rPr>
        <w:t>–</w:t>
      </w:r>
      <w:r w:rsidRPr="008F1161">
        <w:rPr>
          <w:rFonts w:ascii="Times New Roman" w:hAnsi="Times New Roman" w:cs="Times New Roman"/>
          <w:sz w:val="24"/>
          <w:szCs w:val="24"/>
        </w:rPr>
        <w:t xml:space="preserve"> заміна обладнання  відбувається  протягом не більше двох робочих днів за днем оформлення сервісної заявки. Заміна несправного обладнання повинна проводитися необмежену кількість разів протягом всього терміну дії сервісної підтримки Виробника;</w:t>
      </w:r>
    </w:p>
    <w:p w14:paraId="196266C9" w14:textId="77777777" w:rsidR="008F1161" w:rsidRPr="008F1161" w:rsidRDefault="008F1161" w:rsidP="008F1161">
      <w:pPr>
        <w:spacing w:after="0" w:line="240" w:lineRule="auto"/>
        <w:ind w:left="-567" w:firstLine="425"/>
        <w:jc w:val="both"/>
        <w:rPr>
          <w:rFonts w:ascii="Times New Roman" w:hAnsi="Times New Roman" w:cs="Times New Roman"/>
          <w:sz w:val="24"/>
          <w:szCs w:val="24"/>
        </w:rPr>
      </w:pPr>
      <w:r w:rsidRPr="008F1161">
        <w:rPr>
          <w:rFonts w:ascii="Times New Roman" w:hAnsi="Times New Roman" w:cs="Times New Roman"/>
          <w:sz w:val="24"/>
          <w:szCs w:val="24"/>
        </w:rPr>
        <w:t>- надавати можливість для завантаження нових версій програмного забезпечення оновлень з безпеки вразливостей і виправлень виявлених помилок , розширення функціональності ПЗ, що поставляється разом з обладнанням;</w:t>
      </w:r>
    </w:p>
    <w:p w14:paraId="6F0DD9E6" w14:textId="77777777" w:rsidR="008F1161" w:rsidRPr="008F1161" w:rsidRDefault="008F1161" w:rsidP="008F1161">
      <w:pPr>
        <w:spacing w:after="0" w:line="240" w:lineRule="auto"/>
        <w:ind w:left="-567" w:firstLine="425"/>
        <w:jc w:val="both"/>
        <w:rPr>
          <w:rFonts w:ascii="Times New Roman" w:hAnsi="Times New Roman" w:cs="Times New Roman"/>
          <w:sz w:val="24"/>
          <w:szCs w:val="24"/>
        </w:rPr>
      </w:pPr>
      <w:r w:rsidRPr="008F1161">
        <w:rPr>
          <w:rFonts w:ascii="Times New Roman" w:hAnsi="Times New Roman" w:cs="Times New Roman"/>
          <w:sz w:val="24"/>
          <w:szCs w:val="24"/>
        </w:rPr>
        <w:t xml:space="preserve">- для вирішення проблем під час експлуатації апаратного та програмного забезпечення Виробник повинен надавати електронний сервіс (веб-портал, спеціальну </w:t>
      </w:r>
      <w:proofErr w:type="spellStart"/>
      <w:r w:rsidRPr="008F1161">
        <w:rPr>
          <w:rFonts w:ascii="Times New Roman" w:hAnsi="Times New Roman" w:cs="Times New Roman"/>
          <w:sz w:val="24"/>
          <w:szCs w:val="24"/>
        </w:rPr>
        <w:t>email-aдpecy</w:t>
      </w:r>
      <w:proofErr w:type="spellEnd"/>
      <w:r w:rsidRPr="008F1161">
        <w:rPr>
          <w:rFonts w:ascii="Times New Roman" w:hAnsi="Times New Roman" w:cs="Times New Roman"/>
          <w:sz w:val="24"/>
          <w:szCs w:val="24"/>
        </w:rPr>
        <w:t>, мобільний додаток тощо) для створення заявок від Замовника або його представників з автоматичною реєстрацією таких заявок в системі підтримки Виробника. Робота з таким сервісом та комунікація з представниками Виробника повинна бути доступна англійською або українською мовою.</w:t>
      </w:r>
    </w:p>
    <w:p w14:paraId="016D4532" w14:textId="77777777" w:rsidR="008F1161" w:rsidRPr="008F1161" w:rsidRDefault="008F1161" w:rsidP="008F1161">
      <w:pPr>
        <w:spacing w:after="0" w:line="240" w:lineRule="auto"/>
        <w:ind w:left="-567" w:firstLine="425"/>
        <w:jc w:val="both"/>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851"/>
        <w:gridCol w:w="2269"/>
        <w:gridCol w:w="4632"/>
        <w:gridCol w:w="1338"/>
        <w:gridCol w:w="969"/>
      </w:tblGrid>
      <w:tr w:rsidR="008F1161" w:rsidRPr="008F1161" w14:paraId="104F5631" w14:textId="77777777" w:rsidTr="0036480F">
        <w:trPr>
          <w:trHeight w:val="1181"/>
        </w:trPr>
        <w:tc>
          <w:tcPr>
            <w:tcW w:w="851" w:type="dxa"/>
          </w:tcPr>
          <w:p w14:paraId="58042D5C" w14:textId="77777777" w:rsidR="008F1161" w:rsidRPr="008F1161" w:rsidRDefault="008F1161" w:rsidP="008F1161">
            <w:pPr>
              <w:ind w:left="-567" w:firstLine="425"/>
              <w:jc w:val="center"/>
              <w:rPr>
                <w:rFonts w:ascii="Times New Roman" w:hAnsi="Times New Roman" w:cs="Times New Roman"/>
                <w:sz w:val="24"/>
                <w:szCs w:val="24"/>
              </w:rPr>
            </w:pPr>
          </w:p>
          <w:p w14:paraId="334D03FB"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w:t>
            </w:r>
          </w:p>
          <w:p w14:paraId="2C9E8628"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з/п</w:t>
            </w:r>
          </w:p>
        </w:tc>
        <w:tc>
          <w:tcPr>
            <w:tcW w:w="2269" w:type="dxa"/>
          </w:tcPr>
          <w:p w14:paraId="588D7B6E" w14:textId="77777777" w:rsidR="008F1161" w:rsidRPr="008F1161" w:rsidRDefault="008F1161" w:rsidP="008F1161">
            <w:pPr>
              <w:rPr>
                <w:rFonts w:ascii="Times New Roman" w:hAnsi="Times New Roman" w:cs="Times New Roman"/>
                <w:sz w:val="24"/>
                <w:szCs w:val="24"/>
              </w:rPr>
            </w:pPr>
          </w:p>
          <w:p w14:paraId="46C50F11"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Артикул</w:t>
            </w:r>
          </w:p>
        </w:tc>
        <w:tc>
          <w:tcPr>
            <w:tcW w:w="4632" w:type="dxa"/>
          </w:tcPr>
          <w:p w14:paraId="10DFCC6E" w14:textId="77777777" w:rsidR="008F1161" w:rsidRPr="008F1161" w:rsidRDefault="008F1161" w:rsidP="008F1161">
            <w:pPr>
              <w:ind w:left="-567" w:firstLine="425"/>
              <w:jc w:val="center"/>
              <w:rPr>
                <w:rFonts w:ascii="Times New Roman" w:hAnsi="Times New Roman" w:cs="Times New Roman"/>
                <w:sz w:val="24"/>
                <w:szCs w:val="24"/>
              </w:rPr>
            </w:pPr>
          </w:p>
          <w:p w14:paraId="74B255D9" w14:textId="77777777" w:rsidR="008F1161" w:rsidRPr="008F1161" w:rsidRDefault="008F1161" w:rsidP="008F1161">
            <w:pPr>
              <w:ind w:left="-567" w:firstLine="425"/>
              <w:jc w:val="center"/>
              <w:rPr>
                <w:rFonts w:ascii="Times New Roman" w:hAnsi="Times New Roman" w:cs="Times New Roman"/>
                <w:sz w:val="24"/>
                <w:szCs w:val="24"/>
              </w:rPr>
            </w:pPr>
          </w:p>
          <w:p w14:paraId="78946761"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Найменування</w:t>
            </w:r>
          </w:p>
        </w:tc>
        <w:tc>
          <w:tcPr>
            <w:tcW w:w="1338" w:type="dxa"/>
          </w:tcPr>
          <w:p w14:paraId="704EF6B0" w14:textId="77777777" w:rsidR="008F1161" w:rsidRPr="008F1161" w:rsidRDefault="008F1161" w:rsidP="008F1161">
            <w:pPr>
              <w:jc w:val="center"/>
              <w:rPr>
                <w:rFonts w:ascii="Times New Roman" w:hAnsi="Times New Roman" w:cs="Times New Roman"/>
                <w:sz w:val="24"/>
                <w:szCs w:val="24"/>
              </w:rPr>
            </w:pPr>
          </w:p>
          <w:p w14:paraId="205AA0EC" w14:textId="77777777" w:rsidR="008F1161" w:rsidRPr="008F1161" w:rsidRDefault="008F1161" w:rsidP="008F1161">
            <w:pPr>
              <w:jc w:val="center"/>
              <w:rPr>
                <w:rFonts w:ascii="Times New Roman" w:hAnsi="Times New Roman" w:cs="Times New Roman"/>
                <w:sz w:val="24"/>
                <w:szCs w:val="24"/>
                <w:lang w:val="en-US"/>
              </w:rPr>
            </w:pPr>
            <w:r w:rsidRPr="008F1161">
              <w:rPr>
                <w:rFonts w:ascii="Times New Roman" w:hAnsi="Times New Roman" w:cs="Times New Roman"/>
                <w:sz w:val="24"/>
                <w:szCs w:val="24"/>
              </w:rPr>
              <w:t>Термін дії</w:t>
            </w:r>
          </w:p>
          <w:p w14:paraId="4FDC2F43"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(міс.)</w:t>
            </w:r>
          </w:p>
        </w:tc>
        <w:tc>
          <w:tcPr>
            <w:tcW w:w="969" w:type="dxa"/>
          </w:tcPr>
          <w:p w14:paraId="4D0DF9A7" w14:textId="77777777" w:rsidR="008F1161" w:rsidRPr="008F1161" w:rsidRDefault="008F1161" w:rsidP="008F1161">
            <w:pPr>
              <w:rPr>
                <w:rFonts w:ascii="Times New Roman" w:hAnsi="Times New Roman" w:cs="Times New Roman"/>
                <w:sz w:val="24"/>
                <w:szCs w:val="24"/>
              </w:rPr>
            </w:pPr>
          </w:p>
          <w:p w14:paraId="2C2F4D1E"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К-ть</w:t>
            </w:r>
          </w:p>
          <w:p w14:paraId="2DAE3C62"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(од.)</w:t>
            </w:r>
          </w:p>
        </w:tc>
      </w:tr>
      <w:tr w:rsidR="008F1161" w:rsidRPr="008F1161" w14:paraId="696046DB" w14:textId="77777777" w:rsidTr="0036480F">
        <w:trPr>
          <w:trHeight w:val="1144"/>
        </w:trPr>
        <w:tc>
          <w:tcPr>
            <w:tcW w:w="851" w:type="dxa"/>
          </w:tcPr>
          <w:p w14:paraId="4EAA606E" w14:textId="77777777" w:rsidR="008F1161" w:rsidRPr="008F1161" w:rsidRDefault="008F1161" w:rsidP="008F1161">
            <w:pPr>
              <w:ind w:left="-567" w:firstLine="425"/>
              <w:jc w:val="center"/>
              <w:rPr>
                <w:rFonts w:ascii="Times New Roman" w:hAnsi="Times New Roman" w:cs="Times New Roman"/>
                <w:sz w:val="24"/>
                <w:szCs w:val="24"/>
                <w:lang w:val="en-US"/>
              </w:rPr>
            </w:pPr>
          </w:p>
          <w:p w14:paraId="79423280" w14:textId="77777777" w:rsidR="008F1161" w:rsidRPr="008F1161" w:rsidRDefault="008F1161" w:rsidP="008F1161">
            <w:pPr>
              <w:ind w:left="-567" w:firstLine="425"/>
              <w:jc w:val="center"/>
              <w:rPr>
                <w:rFonts w:ascii="Times New Roman" w:hAnsi="Times New Roman" w:cs="Times New Roman"/>
                <w:sz w:val="24"/>
                <w:szCs w:val="24"/>
                <w:lang w:val="en-US"/>
              </w:rPr>
            </w:pPr>
            <w:r w:rsidRPr="008F1161">
              <w:rPr>
                <w:rFonts w:ascii="Times New Roman" w:hAnsi="Times New Roman" w:cs="Times New Roman"/>
                <w:sz w:val="24"/>
                <w:szCs w:val="24"/>
                <w:lang w:val="en-US"/>
              </w:rPr>
              <w:t>1.</w:t>
            </w:r>
          </w:p>
        </w:tc>
        <w:tc>
          <w:tcPr>
            <w:tcW w:w="2269" w:type="dxa"/>
          </w:tcPr>
          <w:p w14:paraId="7B9850D5" w14:textId="77777777" w:rsidR="008F1161" w:rsidRPr="008F1161" w:rsidRDefault="008F1161" w:rsidP="008F1161">
            <w:pPr>
              <w:ind w:left="-567" w:firstLine="425"/>
              <w:jc w:val="center"/>
              <w:rPr>
                <w:rFonts w:ascii="Times New Roman" w:hAnsi="Times New Roman" w:cs="Times New Roman"/>
                <w:sz w:val="24"/>
                <w:szCs w:val="24"/>
                <w:lang w:val="en-US"/>
              </w:rPr>
            </w:pPr>
            <w:r w:rsidRPr="008F1161">
              <w:rPr>
                <w:rFonts w:ascii="Times New Roman" w:hAnsi="Times New Roman" w:cs="Times New Roman"/>
                <w:sz w:val="24"/>
                <w:szCs w:val="24"/>
                <w:lang w:val="en-US"/>
              </w:rPr>
              <w:t>CON-ECMU-RPCCEP</w:t>
            </w:r>
          </w:p>
        </w:tc>
        <w:tc>
          <w:tcPr>
            <w:tcW w:w="4632" w:type="dxa"/>
          </w:tcPr>
          <w:p w14:paraId="1D61F0CB"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Послуга з технічної підтримки</w:t>
            </w:r>
          </w:p>
          <w:p w14:paraId="515F677F"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lang w:val="en-US"/>
              </w:rPr>
              <w:t>SWSS</w:t>
            </w:r>
          </w:p>
          <w:p w14:paraId="5412657A" w14:textId="77777777" w:rsidR="008F1161" w:rsidRPr="008F1161" w:rsidRDefault="008F1161" w:rsidP="008F1161">
            <w:pPr>
              <w:ind w:left="-567" w:firstLine="425"/>
              <w:jc w:val="center"/>
              <w:rPr>
                <w:rFonts w:ascii="Times New Roman" w:hAnsi="Times New Roman" w:cs="Times New Roman"/>
                <w:sz w:val="24"/>
                <w:szCs w:val="24"/>
                <w:lang w:val="en-US"/>
              </w:rPr>
            </w:pPr>
            <w:r w:rsidRPr="008F1161">
              <w:rPr>
                <w:rFonts w:ascii="Times New Roman" w:hAnsi="Times New Roman" w:cs="Times New Roman"/>
                <w:sz w:val="24"/>
                <w:szCs w:val="24"/>
                <w:lang w:val="en-US"/>
              </w:rPr>
              <w:t>UPGRADES CCE Packaged Agent</w:t>
            </w:r>
          </w:p>
        </w:tc>
        <w:tc>
          <w:tcPr>
            <w:tcW w:w="1338" w:type="dxa"/>
          </w:tcPr>
          <w:p w14:paraId="60CBDA33" w14:textId="77777777" w:rsidR="008F1161" w:rsidRPr="008F1161" w:rsidRDefault="008F1161" w:rsidP="008F1161">
            <w:pPr>
              <w:ind w:left="-567" w:firstLine="425"/>
              <w:jc w:val="center"/>
              <w:rPr>
                <w:rFonts w:ascii="Times New Roman" w:hAnsi="Times New Roman" w:cs="Times New Roman"/>
                <w:sz w:val="24"/>
                <w:szCs w:val="24"/>
                <w:lang w:val="en-US"/>
              </w:rPr>
            </w:pPr>
          </w:p>
          <w:p w14:paraId="077ED16A" w14:textId="77777777" w:rsidR="008F1161" w:rsidRPr="008F1161" w:rsidRDefault="008F1161" w:rsidP="008F1161">
            <w:pPr>
              <w:ind w:left="-567" w:firstLine="425"/>
              <w:jc w:val="center"/>
              <w:rPr>
                <w:rFonts w:ascii="Times New Roman" w:hAnsi="Times New Roman" w:cs="Times New Roman"/>
                <w:sz w:val="24"/>
                <w:szCs w:val="24"/>
                <w:lang w:val="en-US"/>
              </w:rPr>
            </w:pPr>
            <w:r w:rsidRPr="008F1161">
              <w:rPr>
                <w:rFonts w:ascii="Times New Roman" w:hAnsi="Times New Roman" w:cs="Times New Roman"/>
                <w:sz w:val="24"/>
                <w:szCs w:val="24"/>
                <w:lang w:val="en-US"/>
              </w:rPr>
              <w:t>12</w:t>
            </w:r>
          </w:p>
        </w:tc>
        <w:tc>
          <w:tcPr>
            <w:tcW w:w="969" w:type="dxa"/>
          </w:tcPr>
          <w:p w14:paraId="27347ECA" w14:textId="77777777" w:rsidR="008F1161" w:rsidRPr="008F1161" w:rsidRDefault="008F1161" w:rsidP="008F1161">
            <w:pPr>
              <w:ind w:left="-567" w:firstLine="425"/>
              <w:jc w:val="center"/>
              <w:rPr>
                <w:rFonts w:ascii="Times New Roman" w:hAnsi="Times New Roman" w:cs="Times New Roman"/>
                <w:sz w:val="24"/>
                <w:szCs w:val="24"/>
                <w:lang w:val="en-US"/>
              </w:rPr>
            </w:pPr>
          </w:p>
          <w:p w14:paraId="23F0D677"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35</w:t>
            </w:r>
          </w:p>
        </w:tc>
      </w:tr>
      <w:tr w:rsidR="008F1161" w:rsidRPr="008F1161" w14:paraId="251CCC17" w14:textId="77777777" w:rsidTr="0036480F">
        <w:trPr>
          <w:trHeight w:val="1144"/>
        </w:trPr>
        <w:tc>
          <w:tcPr>
            <w:tcW w:w="851" w:type="dxa"/>
          </w:tcPr>
          <w:p w14:paraId="2D8B1F2B"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2.</w:t>
            </w:r>
          </w:p>
        </w:tc>
        <w:tc>
          <w:tcPr>
            <w:tcW w:w="2269" w:type="dxa"/>
          </w:tcPr>
          <w:p w14:paraId="4D3785C5" w14:textId="77777777" w:rsidR="008F1161" w:rsidRPr="008F1161" w:rsidRDefault="008F1161" w:rsidP="008F1161">
            <w:pPr>
              <w:ind w:left="-567" w:firstLine="425"/>
              <w:jc w:val="center"/>
              <w:rPr>
                <w:rFonts w:ascii="Times New Roman" w:hAnsi="Times New Roman" w:cs="Times New Roman"/>
                <w:sz w:val="24"/>
                <w:szCs w:val="24"/>
                <w:lang w:val="en-US"/>
              </w:rPr>
            </w:pPr>
            <w:r w:rsidRPr="008F1161">
              <w:rPr>
                <w:rFonts w:ascii="Times New Roman" w:hAnsi="Times New Roman" w:cs="Times New Roman"/>
                <w:sz w:val="24"/>
                <w:szCs w:val="24"/>
                <w:lang w:val="en-US"/>
              </w:rPr>
              <w:t>CON-ECMU-URCVPSTU</w:t>
            </w:r>
          </w:p>
        </w:tc>
        <w:tc>
          <w:tcPr>
            <w:tcW w:w="4632" w:type="dxa"/>
          </w:tcPr>
          <w:p w14:paraId="6613A58A"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Послуга з технічної підтримки</w:t>
            </w:r>
          </w:p>
          <w:p w14:paraId="1AC28A35"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SWSS</w:t>
            </w:r>
          </w:p>
          <w:p w14:paraId="343CDC63"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 xml:space="preserve">UPGRADES CVP </w:t>
            </w:r>
            <w:proofErr w:type="spellStart"/>
            <w:r w:rsidRPr="008F1161">
              <w:rPr>
                <w:rFonts w:ascii="Times New Roman" w:hAnsi="Times New Roman" w:cs="Times New Roman"/>
                <w:sz w:val="24"/>
                <w:szCs w:val="24"/>
              </w:rPr>
              <w:t>Studio</w:t>
            </w:r>
            <w:proofErr w:type="spellEnd"/>
            <w:r w:rsidRPr="008F1161">
              <w:rPr>
                <w:rFonts w:ascii="Times New Roman" w:hAnsi="Times New Roman" w:cs="Times New Roman"/>
                <w:sz w:val="24"/>
                <w:szCs w:val="24"/>
              </w:rPr>
              <w:t xml:space="preserve"> </w:t>
            </w:r>
            <w:proofErr w:type="spellStart"/>
            <w:r w:rsidRPr="008F1161">
              <w:rPr>
                <w:rFonts w:ascii="Times New Roman" w:hAnsi="Times New Roman" w:cs="Times New Roman"/>
                <w:sz w:val="24"/>
                <w:szCs w:val="24"/>
              </w:rPr>
              <w:t>Smart</w:t>
            </w:r>
            <w:proofErr w:type="spellEnd"/>
          </w:p>
        </w:tc>
        <w:tc>
          <w:tcPr>
            <w:tcW w:w="1338" w:type="dxa"/>
          </w:tcPr>
          <w:p w14:paraId="1DDF803C" w14:textId="77777777" w:rsidR="008F1161" w:rsidRPr="008F1161" w:rsidRDefault="008F1161" w:rsidP="008F1161">
            <w:pPr>
              <w:ind w:left="-567" w:firstLine="425"/>
              <w:jc w:val="center"/>
              <w:rPr>
                <w:rFonts w:ascii="Times New Roman" w:hAnsi="Times New Roman" w:cs="Times New Roman"/>
                <w:sz w:val="24"/>
                <w:szCs w:val="24"/>
              </w:rPr>
            </w:pPr>
          </w:p>
          <w:p w14:paraId="22472F1A"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12</w:t>
            </w:r>
          </w:p>
        </w:tc>
        <w:tc>
          <w:tcPr>
            <w:tcW w:w="969" w:type="dxa"/>
          </w:tcPr>
          <w:p w14:paraId="1FE6BFDB" w14:textId="77777777" w:rsidR="008F1161" w:rsidRPr="008F1161" w:rsidRDefault="008F1161" w:rsidP="008F1161">
            <w:pPr>
              <w:ind w:left="-567" w:firstLine="425"/>
              <w:jc w:val="center"/>
              <w:rPr>
                <w:rFonts w:ascii="Times New Roman" w:hAnsi="Times New Roman" w:cs="Times New Roman"/>
                <w:sz w:val="24"/>
                <w:szCs w:val="24"/>
              </w:rPr>
            </w:pPr>
          </w:p>
          <w:p w14:paraId="725AEC01"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1</w:t>
            </w:r>
          </w:p>
        </w:tc>
      </w:tr>
      <w:tr w:rsidR="008F1161" w:rsidRPr="008F1161" w14:paraId="4DFAD431" w14:textId="77777777" w:rsidTr="0036480F">
        <w:trPr>
          <w:trHeight w:val="1144"/>
        </w:trPr>
        <w:tc>
          <w:tcPr>
            <w:tcW w:w="851" w:type="dxa"/>
          </w:tcPr>
          <w:p w14:paraId="5CCE4D38"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3.</w:t>
            </w:r>
          </w:p>
        </w:tc>
        <w:tc>
          <w:tcPr>
            <w:tcW w:w="2269" w:type="dxa"/>
          </w:tcPr>
          <w:p w14:paraId="71754664" w14:textId="77777777" w:rsidR="008F1161" w:rsidRPr="008F1161" w:rsidRDefault="008F1161" w:rsidP="008F1161">
            <w:pPr>
              <w:ind w:left="-567" w:firstLine="425"/>
              <w:jc w:val="center"/>
              <w:rPr>
                <w:rFonts w:ascii="Times New Roman" w:hAnsi="Times New Roman" w:cs="Times New Roman"/>
                <w:sz w:val="24"/>
                <w:szCs w:val="24"/>
                <w:lang w:val="en-US"/>
              </w:rPr>
            </w:pPr>
            <w:r w:rsidRPr="008F1161">
              <w:rPr>
                <w:rFonts w:ascii="Times New Roman" w:hAnsi="Times New Roman" w:cs="Times New Roman"/>
                <w:sz w:val="24"/>
                <w:szCs w:val="24"/>
                <w:lang w:val="en-US"/>
              </w:rPr>
              <w:t>CON-ECMU-EURPCCEP</w:t>
            </w:r>
          </w:p>
        </w:tc>
        <w:tc>
          <w:tcPr>
            <w:tcW w:w="4632" w:type="dxa"/>
          </w:tcPr>
          <w:p w14:paraId="3B1A5D7E"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Послуга з технічної підтримки</w:t>
            </w:r>
          </w:p>
          <w:p w14:paraId="7D818BA7"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SWSS</w:t>
            </w:r>
          </w:p>
          <w:p w14:paraId="6DD7808C"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 xml:space="preserve">UPGRADES CCE </w:t>
            </w:r>
            <w:proofErr w:type="spellStart"/>
            <w:r w:rsidRPr="008F1161">
              <w:rPr>
                <w:rFonts w:ascii="Times New Roman" w:hAnsi="Times New Roman" w:cs="Times New Roman"/>
                <w:sz w:val="24"/>
                <w:szCs w:val="24"/>
              </w:rPr>
              <w:t>Packaged</w:t>
            </w:r>
            <w:proofErr w:type="spellEnd"/>
            <w:r w:rsidRPr="008F1161">
              <w:rPr>
                <w:rFonts w:ascii="Times New Roman" w:hAnsi="Times New Roman" w:cs="Times New Roman"/>
                <w:sz w:val="24"/>
                <w:szCs w:val="24"/>
              </w:rPr>
              <w:t xml:space="preserve"> </w:t>
            </w:r>
            <w:proofErr w:type="spellStart"/>
            <w:r w:rsidRPr="008F1161">
              <w:rPr>
                <w:rFonts w:ascii="Times New Roman" w:hAnsi="Times New Roman" w:cs="Times New Roman"/>
                <w:sz w:val="24"/>
                <w:szCs w:val="24"/>
              </w:rPr>
              <w:t>Agent</w:t>
            </w:r>
            <w:proofErr w:type="spellEnd"/>
          </w:p>
        </w:tc>
        <w:tc>
          <w:tcPr>
            <w:tcW w:w="1338" w:type="dxa"/>
          </w:tcPr>
          <w:p w14:paraId="7F6B76DD" w14:textId="77777777" w:rsidR="008F1161" w:rsidRPr="008F1161" w:rsidRDefault="008F1161" w:rsidP="008F1161">
            <w:pPr>
              <w:ind w:left="-567" w:firstLine="425"/>
              <w:jc w:val="center"/>
              <w:rPr>
                <w:rFonts w:ascii="Times New Roman" w:hAnsi="Times New Roman" w:cs="Times New Roman"/>
                <w:sz w:val="24"/>
                <w:szCs w:val="24"/>
              </w:rPr>
            </w:pPr>
          </w:p>
          <w:p w14:paraId="58BBEDCD"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12</w:t>
            </w:r>
          </w:p>
        </w:tc>
        <w:tc>
          <w:tcPr>
            <w:tcW w:w="969" w:type="dxa"/>
          </w:tcPr>
          <w:p w14:paraId="3C9EB281" w14:textId="77777777" w:rsidR="008F1161" w:rsidRPr="008F1161" w:rsidRDefault="008F1161" w:rsidP="008F1161">
            <w:pPr>
              <w:ind w:left="-567" w:firstLine="425"/>
              <w:jc w:val="center"/>
              <w:rPr>
                <w:rFonts w:ascii="Times New Roman" w:hAnsi="Times New Roman" w:cs="Times New Roman"/>
                <w:sz w:val="24"/>
                <w:szCs w:val="24"/>
              </w:rPr>
            </w:pPr>
          </w:p>
          <w:p w14:paraId="2F32E152" w14:textId="77777777" w:rsidR="008F1161" w:rsidRPr="008F1161" w:rsidRDefault="008F1161" w:rsidP="008F1161">
            <w:pPr>
              <w:ind w:left="-567" w:firstLine="425"/>
              <w:jc w:val="center"/>
              <w:rPr>
                <w:rFonts w:ascii="Times New Roman" w:hAnsi="Times New Roman" w:cs="Times New Roman"/>
                <w:sz w:val="24"/>
                <w:szCs w:val="24"/>
              </w:rPr>
            </w:pPr>
            <w:r w:rsidRPr="008F1161">
              <w:rPr>
                <w:rFonts w:ascii="Times New Roman" w:hAnsi="Times New Roman" w:cs="Times New Roman"/>
                <w:sz w:val="24"/>
                <w:szCs w:val="24"/>
              </w:rPr>
              <w:t>50</w:t>
            </w:r>
          </w:p>
        </w:tc>
      </w:tr>
    </w:tbl>
    <w:p w14:paraId="2AAB27A1" w14:textId="77777777" w:rsidR="008F1161" w:rsidRPr="008F1161" w:rsidRDefault="008F1161" w:rsidP="008F1161">
      <w:pPr>
        <w:tabs>
          <w:tab w:val="left" w:pos="180"/>
        </w:tabs>
        <w:suppressAutoHyphens/>
        <w:spacing w:after="0" w:line="240" w:lineRule="auto"/>
        <w:jc w:val="center"/>
        <w:rPr>
          <w:rFonts w:ascii="Times New Roman" w:hAnsi="Times New Roman" w:cs="Times New Roman"/>
          <w:b/>
          <w:i/>
          <w:iCs/>
          <w:sz w:val="24"/>
          <w:szCs w:val="24"/>
          <w:shd w:val="clear" w:color="auto" w:fill="FFFFFF"/>
        </w:rPr>
      </w:pPr>
    </w:p>
    <w:p w14:paraId="4889C427" w14:textId="77777777" w:rsidR="008F1161" w:rsidRPr="008F1161" w:rsidRDefault="008F1161" w:rsidP="008F1161">
      <w:pPr>
        <w:widowControl w:val="0"/>
        <w:spacing w:after="0" w:line="240" w:lineRule="auto"/>
        <w:ind w:right="-1"/>
        <w:jc w:val="both"/>
        <w:rPr>
          <w:rFonts w:ascii="Times New Roman" w:hAnsi="Times New Roman" w:cs="Times New Roman"/>
          <w:b/>
          <w:i/>
          <w:iCs/>
          <w:sz w:val="24"/>
          <w:szCs w:val="24"/>
          <w:shd w:val="clear" w:color="auto" w:fill="FFFFFF"/>
        </w:rPr>
      </w:pPr>
      <w:r w:rsidRPr="008F1161">
        <w:rPr>
          <w:rFonts w:ascii="Times New Roman" w:hAnsi="Times New Roman" w:cs="Times New Roman"/>
          <w:b/>
          <w:i/>
          <w:iCs/>
          <w:sz w:val="24"/>
          <w:szCs w:val="24"/>
          <w:shd w:val="clear" w:color="auto" w:fill="FFFFFF"/>
        </w:rPr>
        <w:t>У разі, якщо ця тендерна документація має посилання на конкретну торговельну марку, фірму, патент, конструкцію або тип предмета закупівлі, джерело його походження або виробника, тощо – вважати, що міститься вираз «або еквівалент».</w:t>
      </w:r>
    </w:p>
    <w:p w14:paraId="2016AA63" w14:textId="77777777" w:rsidR="008F1161" w:rsidRDefault="008F1161" w:rsidP="008F1161">
      <w:pPr>
        <w:widowControl w:val="0"/>
        <w:spacing w:after="0" w:line="240" w:lineRule="auto"/>
        <w:ind w:right="-1"/>
        <w:jc w:val="both"/>
        <w:rPr>
          <w:b/>
          <w:i/>
          <w:iCs/>
          <w:sz w:val="24"/>
          <w:szCs w:val="24"/>
          <w:shd w:val="clear" w:color="auto" w:fill="FFFFFF"/>
        </w:rPr>
      </w:pPr>
    </w:p>
    <w:p w14:paraId="28B83EFB" w14:textId="6836F9B6" w:rsidR="00245020" w:rsidRPr="00F90C90" w:rsidRDefault="00245020" w:rsidP="008F116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9DE9905"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8541D">
        <w:rPr>
          <w:rFonts w:ascii="Times New Roman" w:eastAsia="Times New Roman" w:hAnsi="Times New Roman" w:cs="Times New Roman"/>
          <w:sz w:val="24"/>
          <w:szCs w:val="24"/>
          <w:lang w:eastAsia="ru-RU"/>
        </w:rPr>
        <w:t>2 655 328,12</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8541D">
        <w:rPr>
          <w:rFonts w:ascii="Times New Roman" w:eastAsia="Times New Roman" w:hAnsi="Times New Roman" w:cs="Times New Roman"/>
          <w:sz w:val="24"/>
          <w:szCs w:val="24"/>
          <w:lang w:eastAsia="ru-RU"/>
        </w:rPr>
        <w:t>два</w:t>
      </w:r>
      <w:r w:rsidR="00F14A71">
        <w:rPr>
          <w:rFonts w:ascii="Times New Roman" w:eastAsia="Times New Roman" w:hAnsi="Times New Roman" w:cs="Times New Roman"/>
          <w:sz w:val="24"/>
          <w:szCs w:val="24"/>
          <w:lang w:eastAsia="ru-RU"/>
        </w:rPr>
        <w:t xml:space="preserve"> мільйони </w:t>
      </w:r>
      <w:r w:rsidR="0058541D">
        <w:rPr>
          <w:rFonts w:ascii="Times New Roman" w:eastAsia="Times New Roman" w:hAnsi="Times New Roman" w:cs="Times New Roman"/>
          <w:sz w:val="24"/>
          <w:szCs w:val="24"/>
          <w:lang w:eastAsia="ru-RU"/>
        </w:rPr>
        <w:t>шістсот п’ятдесят п’ять тисяч триста двадцять вісім</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8541D">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58541D">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58541D">
        <w:rPr>
          <w:rFonts w:ascii="Times New Roman" w:eastAsia="Times New Roman" w:hAnsi="Times New Roman" w:cs="Times New Roman"/>
          <w:sz w:val="24"/>
          <w:szCs w:val="24"/>
          <w:lang w:eastAsia="ru-RU"/>
        </w:rPr>
        <w:t>12</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47739"/>
    <w:rsid w:val="004675A8"/>
    <w:rsid w:val="004A340F"/>
    <w:rsid w:val="004E72F1"/>
    <w:rsid w:val="005161ED"/>
    <w:rsid w:val="00526303"/>
    <w:rsid w:val="00551800"/>
    <w:rsid w:val="0058541D"/>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1161"/>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2970</Words>
  <Characters>1694</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185</cp:revision>
  <dcterms:created xsi:type="dcterms:W3CDTF">2022-11-01T12:47:00Z</dcterms:created>
  <dcterms:modified xsi:type="dcterms:W3CDTF">2024-12-09T05:27:00Z</dcterms:modified>
</cp:coreProperties>
</file>