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rStyle w:val="690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690"/>
            <w:b w:val="0"/>
            <w:bCs w:val="0"/>
            <w:color w:val="auto"/>
            <w:sz w:val="24"/>
            <w:szCs w:val="24"/>
            <w:u w:val="none"/>
          </w:rPr>
          <w:t xml:space="preserve">Послуги благоустрою території</w:t>
        </w:r>
        <w:r>
          <w:rPr>
            <w:rStyle w:val="701"/>
            <w:rFonts w:eastAsia="Calibri"/>
            <w:b w:val="0"/>
            <w:bCs w:val="0"/>
            <w:sz w:val="24"/>
            <w:szCs w:val="24"/>
            <w:shd w:val="clear" w:color="auto" w:fill="ffffff"/>
          </w:rPr>
          <w:t xml:space="preserve"> на об’єкті ДУ ЦІТ МВС України, за </w:t>
        </w:r>
        <w:r>
          <w:rPr>
            <w:rStyle w:val="701"/>
            <w:rFonts w:eastAsia="Calibri"/>
            <w:b w:val="0"/>
            <w:bCs w:val="0"/>
            <w:sz w:val="24"/>
            <w:szCs w:val="24"/>
            <w:shd w:val="clear" w:color="auto" w:fill="ffffff"/>
          </w:rPr>
          <w:t xml:space="preserve">адресою</w:t>
        </w:r>
        <w:r>
          <w:rPr>
            <w:rStyle w:val="701"/>
            <w:rFonts w:eastAsia="Calibri"/>
            <w:b w:val="0"/>
            <w:bCs w:val="0"/>
            <w:sz w:val="24"/>
            <w:szCs w:val="24"/>
            <w:shd w:val="clear" w:color="auto" w:fill="ffffff"/>
          </w:rPr>
          <w:t xml:space="preserve">: вул. Волинська, 26 </w:t>
        </w:r>
        <w:r>
          <w:rPr>
            <w:rStyle w:val="701"/>
            <w:rFonts w:eastAsia="Calibri"/>
            <w:b w:val="0"/>
            <w:bCs w:val="0"/>
            <w:sz w:val="24"/>
            <w:szCs w:val="24"/>
            <w:shd w:val="clear" w:color="auto" w:fill="ffffff"/>
          </w:rPr>
          <w:t xml:space="preserve">Слом’янського</w:t>
        </w:r>
        <w:r>
          <w:rPr>
            <w:rStyle w:val="701"/>
            <w:rFonts w:eastAsia="Calibri"/>
            <w:b w:val="0"/>
            <w:bCs w:val="0"/>
            <w:sz w:val="24"/>
            <w:szCs w:val="24"/>
            <w:shd w:val="clear" w:color="auto" w:fill="ffffff"/>
          </w:rPr>
          <w:t xml:space="preserve"> району, м. Києва за кодом CPV за ЄЗС ДК 021:2015: 45110000-1 </w:t>
        </w:r>
        <w:r>
          <w:rPr>
            <w:rStyle w:val="690"/>
            <w:b w:val="0"/>
            <w:bCs w:val="0"/>
            <w:color w:val="auto"/>
            <w:sz w:val="24"/>
            <w:szCs w:val="24"/>
            <w:u w:val="none"/>
          </w:rPr>
          <w:t xml:space="preserve">Руйнування та знесення будівель і земляні роботи</w:t>
        </w:r>
        <w:r>
          <w:rPr>
            <w:rStyle w:val="690"/>
            <w:b w:val="0"/>
            <w:bCs w:val="0"/>
            <w:color w:val="auto"/>
            <w:sz w:val="24"/>
            <w:szCs w:val="24"/>
            <w:u w:val="none"/>
          </w:rPr>
          <w:t xml:space="preserve"> </w:t>
        </w:r>
      </w:hyperlink>
      <w:r/>
      <w:r/>
    </w:p>
    <w:p>
      <w:pPr>
        <w:jc w:val="both"/>
        <w:rPr>
          <w:rStyle w:val="690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27-000516-а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677"/>
        <w:jc w:val="center"/>
        <w:spacing w:before="0" w:beforeAutospacing="0" w:after="0" w:afterAutospacing="0"/>
        <w:shd w:val="clear" w:color="auto" w:fill="ffffff" w:themeFill="background1"/>
        <w:rPr>
          <w:rStyle w:val="690"/>
          <w:color w:val="auto"/>
          <w:sz w:val="24"/>
          <w:szCs w:val="24"/>
          <w:u w:val="none"/>
        </w:rPr>
      </w:pPr>
      <w:r/>
      <w:hyperlink r:id="rId12" w:tooltip="https://www.dzo.com.ua/tenders/17227183" w:history="1">
        <w:r>
          <w:rPr>
            <w:rStyle w:val="690"/>
            <w:color w:val="auto"/>
            <w:sz w:val="24"/>
            <w:szCs w:val="24"/>
            <w:u w:val="none"/>
          </w:rPr>
          <w:t xml:space="preserve">Послуги благоустрою території</w:t>
        </w:r>
        <w:r>
          <w:rPr>
            <w:rStyle w:val="701"/>
            <w:rFonts w:eastAsia="Calibri"/>
            <w:sz w:val="24"/>
            <w:szCs w:val="24"/>
            <w:shd w:val="clear" w:color="auto" w:fill="ffffff"/>
          </w:rPr>
          <w:t xml:space="preserve"> на об’єкті ДУ ЦІТ МВС України, за </w:t>
        </w:r>
        <w:r>
          <w:rPr>
            <w:rStyle w:val="701"/>
            <w:rFonts w:eastAsia="Calibri"/>
            <w:sz w:val="24"/>
            <w:szCs w:val="24"/>
            <w:shd w:val="clear" w:color="auto" w:fill="ffffff"/>
          </w:rPr>
          <w:t xml:space="preserve">адресою</w:t>
        </w:r>
        <w:r>
          <w:rPr>
            <w:rStyle w:val="701"/>
            <w:rFonts w:eastAsia="Calibri"/>
            <w:sz w:val="24"/>
            <w:szCs w:val="24"/>
            <w:shd w:val="clear" w:color="auto" w:fill="ffffff"/>
          </w:rPr>
          <w:t xml:space="preserve">: вул. Волинська, 26 </w:t>
        </w:r>
        <w:r>
          <w:rPr>
            <w:rStyle w:val="701"/>
            <w:rFonts w:eastAsia="Calibri"/>
            <w:sz w:val="24"/>
            <w:szCs w:val="24"/>
            <w:shd w:val="clear" w:color="auto" w:fill="ffffff"/>
          </w:rPr>
          <w:t xml:space="preserve">Слом’янського</w:t>
        </w:r>
        <w:r>
          <w:rPr>
            <w:rStyle w:val="701"/>
            <w:rFonts w:eastAsia="Calibri"/>
            <w:sz w:val="24"/>
            <w:szCs w:val="24"/>
            <w:shd w:val="clear" w:color="auto" w:fill="ffffff"/>
          </w:rPr>
          <w:t xml:space="preserve"> району, м. Києва за кодом CPV за ЄЗС ДК 021:2015: 45110000-1 </w:t>
        </w:r>
        <w:r>
          <w:rPr>
            <w:rStyle w:val="690"/>
            <w:color w:val="auto"/>
            <w:sz w:val="24"/>
            <w:szCs w:val="24"/>
            <w:u w:val="none"/>
          </w:rPr>
          <w:t xml:space="preserve">Руйнування та знесення будівель і земляні роботи</w:t>
        </w:r>
        <w:r>
          <w:rPr>
            <w:rStyle w:val="690"/>
            <w:color w:val="auto"/>
            <w:sz w:val="24"/>
            <w:szCs w:val="24"/>
            <w:u w:val="none"/>
          </w:rPr>
          <w:t xml:space="preserve"> </w:t>
        </w:r>
      </w:hyperlink>
      <w:r/>
      <w:r/>
    </w:p>
    <w:p>
      <w:pPr>
        <w:pStyle w:val="677"/>
        <w:spacing w:before="0" w:beforeAutospacing="0" w:after="0" w:afterAutospacing="0"/>
        <w:shd w:val="clear" w:color="auto" w:fill="ffffff" w:themeFill="background1"/>
        <w:rPr>
          <w:rStyle w:val="69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/>
    </w:p>
    <w:p>
      <w:pPr>
        <w:pStyle w:val="677"/>
        <w:jc w:val="center"/>
        <w:spacing w:before="0" w:beforeAutospacing="0" w:after="0" w:afterAutospacing="0"/>
        <w:shd w:val="clear" w:color="auto" w:fill="ffffff" w:themeFill="background1"/>
        <w:rPr>
          <w:rStyle w:val="690"/>
          <w:color w:val="000000"/>
          <w:sz w:val="24"/>
          <w:szCs w:val="24"/>
        </w:rPr>
      </w:pPr>
      <w:r>
        <w:rPr>
          <w:rStyle w:val="690"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Ч.ч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Одиниця</w:t>
            </w:r>
            <w:r/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виміру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Кількість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Примітка</w:t>
            </w:r>
            <w:r/>
          </w:p>
        </w:tc>
      </w:tr>
      <w:tr>
        <w:trPr>
          <w:jc w:val="center"/>
        </w:trPr>
        <w:tc>
          <w:tcPr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№1.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Демонтажні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роботи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38,4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асфальту, від розбирання самоскидами на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вiдстань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22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38,4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Демонтаж залізобетонної огорожі з панелей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вручну (залізобетонні стовпи та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залізобетонна огорожа)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52,7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сміття до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52,7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№2.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Улаштування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ФЕМ 350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дорожніх корит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коритного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профілю 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застосуванням екскаваторів, глибина корита до 500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ґрунту до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200,9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підстильних 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вирівнювальних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шарів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основи з піску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підстильних 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вирівнювальних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шарів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основи із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щебеню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шлакового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основ та покриттів з відсіву, верхній шар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товщиною 10 см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кожний 1 см зміни товщини шару основи та покриття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 відсіву вилучати до товщини 5 см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-350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покриттів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дрібнорозмірних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фігурних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елементів мощення [ФЭМ]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№3.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Озеленення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Планування площ ручним способом, група ґрунту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Підготовка ґрунту для влаштування партерного та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звичайного газонів вручну з внесенням рослинної землі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шаром 15 см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450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Підготовка вручну стандартних місць для садіння кущів-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саджанців у групи з додаванням рослинної землі до 25%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ям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Садіння кущів-саджанців у групи в ями розміром 0,5х0,5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№4.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Склад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№1(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Демонтаж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надземної частини цегляних сараїв зі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збереженням придатних матеріалів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992,66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4" w:h="16834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18"/>
        <w:gridCol w:w="1418"/>
        <w:gridCol w:w="1418"/>
      </w:tblGrid>
      <w:tr>
        <w:trPr>
          <w:jc w:val="center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самоскиди, місткість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екскаватора 0,5 м3.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432,307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 будівельного сміття самоскидами на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вiдстань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432,307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№5.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Лівньовка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4шт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Розроблення ґрунту у відвал екскаваторами "драглайн"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або "зворотна лопата"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ковшом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місткістю 0,4 [0,3-0,45]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м3, група ґрунтів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[Доробка вручну, зачистка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дна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стiнок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вручну з викидом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грунту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 котлованах i траншеях, розроблених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механiзованим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способом]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піщаної основи під трубопроводи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Укладання трубопроводів із поліетиленових труб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діаметром 110 мм 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гідравличним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випробуванням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Засипка траншей і котлованів бульдозерами потужністю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59 кВт [80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к.с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.] з переміщенням ґрунту до 5 м, група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ґрунтів 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поздовжніх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дренажів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із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трубофільтрів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по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краях проїжджої частини або уздовж укріпних смуг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№6.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Проїзд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235 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асфальтобетонних покриттів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механізованим способом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14,1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самоскиди, місткість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екскаватора 0,25 м3.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22,56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 будівельного сміття самоскидами на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вiдстань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22,56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дорожніх корит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коритного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профілю 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застосуванням екскаваторів, глибина корита до 250 мм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ґрунту до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65,8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пiдстильних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вирiвнювальних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шарiв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основи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iз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щебеню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Нарізання щілин в асфальтобетонному покритті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баровою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установкою БМ-271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Улаштування покриття товщиною 4 см з гарячих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асфальтобетонних сумішей  вручну з ущільненням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самохідними  котками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 кожні 0,5 см зміни товщини шару додавати до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товщини 6 см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235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№7.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Улаштування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поребриків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----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камені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бортові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поребрик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) БР100.20.8 ----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36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бетонних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поребриків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на бетонну основу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№8.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Улаштування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бортових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каменів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37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Установлення бортових каменів бетонних і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залізобетонних при інших видах покриттів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120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№9.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Склад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№2(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Демонтаж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)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38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надземної частини цегляних сараїв без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збереження придатних матеріалів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379,64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39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самоскиди, місткість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екскаватора 0,5 м3.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307,725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40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 будівельного сміття самоскидами на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вiдстань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307,725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38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Розділ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№10.  НАВІС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41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покриттів покрівлі з хвилястих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азбестоцементних листів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65,12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42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Демонтаж металоконструкцій покриттів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0,45136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43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(Демонтаж) Монтаж опор вільно стоячих висотою до 25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0,8586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44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Розбирання бетонних фундаментів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м3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78,97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45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Навантаження сміття екскаваторами на автомобілі-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самоскиди, місткість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ковша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екскаватора 0,5 м3.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189,528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4" w:h="16834" w:orient="portrait"/>
          <w:pgMar w:top="850" w:right="850" w:bottom="567" w:left="1134" w:header="709" w:footer="197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1027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5423"/>
        <w:gridCol w:w="1427"/>
        <w:gridCol w:w="1427"/>
        <w:gridCol w:w="1427"/>
      </w:tblGrid>
      <w:tr>
        <w:trPr>
          <w:jc w:val="center"/>
          <w:trHeight w:val="168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W w:w="57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426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W w:w="1428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</w:t>
            </w:r>
            <w:r/>
          </w:p>
        </w:tc>
      </w:tr>
      <w:tr>
        <w:trPr>
          <w:jc w:val="center"/>
          <w:trHeight w:val="348"/>
        </w:trPr>
        <w:tc>
          <w:tcPr>
            <w:tcBorders>
              <w:top w:val="none" w:color="000000" w:sz="4" w:space="0"/>
              <w:left w:val="single" w:color="auto" w:sz="12" w:space="0"/>
              <w:bottom w:val="none" w:color="000000" w:sz="4" w:space="0"/>
              <w:right w:val="single" w:color="auto" w:sz="4" w:space="0"/>
            </w:tcBorders>
            <w:tcW w:w="571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46</w:t>
            </w:r>
            <w:r/>
          </w:p>
        </w:tc>
        <w:tc>
          <w:tcPr>
            <w:tcW w:w="5426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Перевезення  будівельного сміття самоскидами на</w:t>
            </w:r>
            <w:r/>
          </w:p>
          <w:p>
            <w:pPr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вiдстань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30 км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189,528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12" w:space="0"/>
            </w:tcBorders>
            <w:tcW w:w="1428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pStyle w:val="685"/>
        <w:jc w:val="both"/>
        <w:spacing w:after="0" w:line="240" w:lineRule="auto"/>
      </w:pPr>
      <w:r>
        <w:rPr>
          <w:color w:val="000000"/>
        </w:rPr>
        <w:t xml:space="preserve">Кошторисна документація має бути розрахована та виконана згідно КНУ «Настанова з визначення вартості будівництва» затвердженої Наказом </w:t>
      </w:r>
      <w:r>
        <w:rPr>
          <w:color w:val="000000"/>
        </w:rPr>
        <w:t xml:space="preserve">Мінрегіону</w:t>
      </w:r>
      <w:r>
        <w:rPr>
          <w:color w:val="000000"/>
        </w:rPr>
        <w:t xml:space="preserve"> від 01.11.2021 № 281, за допомогою програмного комплексу АВК-5 останньої версії, або аналогу (пропечатана та підписана організацією учасником) у складі: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договірна ціна з пояснювальною запискою (до договірної ціни повинні бути надані підтверджуючі розрахунки за статтями витрат договірної ціни);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зведений кошторисний розрахунок;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локальні кошториси, в тому числі і на устаткування та перелік локальних кошторисів (у разі необхідності);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підсумкова відомість ресурсів;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величини адміністративних витрат;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очікуваного прибутку;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кошторисної заробітної плати;</w:t>
      </w:r>
      <w:r/>
    </w:p>
    <w:p>
      <w:pPr>
        <w:ind w:right="23" w:firstLine="567"/>
        <w:jc w:val="both"/>
        <w:spacing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розрахунок показників фактичних загальновиробничих витрат розрахунково-аналітичним методом за попередній звітний період (за минулий календарний рік) за даними бухгалтерського обліку та загальної нормативно-розрахункової трудомісткості виконаних </w:t>
      </w:r>
      <w:r>
        <w:rPr>
          <w:rFonts w:ascii="Times New Roman" w:hAnsi="Times New Roman" w:cs="Times New Roman"/>
          <w:sz w:val="24"/>
          <w:szCs w:val="24"/>
        </w:rPr>
        <w:t xml:space="preserve">робіт.Учасник</w:t>
      </w:r>
      <w:r>
        <w:rPr>
          <w:rFonts w:ascii="Times New Roman" w:hAnsi="Times New Roman" w:cs="Times New Roman"/>
          <w:sz w:val="24"/>
          <w:szCs w:val="24"/>
        </w:rPr>
        <w:t xml:space="preserve"> повинен надавати послуги, що є предметом закупівлі, в обсягах та у строки, які визначені Замовником – до 15.05.2023.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Учасники повинні надати у складі пропозицій документи, які підтверджують відповідність пропозиції учасника технічним, якісним, кількісним та іншим вимогам до предмета закупівлі, встановленим Замовником.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підтвердження відповідності пропозиції технічним, якісним, кількісним та іншим вимогам замовника, учасник у складі пропозиції повинен надати</w:t>
      </w:r>
      <w:r>
        <w:rPr>
          <w:rFonts w:ascii="Times New Roman" w:hAnsi="Times New Roman" w:cs="Times New Roman"/>
          <w:i/>
          <w:sz w:val="24"/>
          <w:szCs w:val="24"/>
        </w:rPr>
        <w:t xml:space="preserve">:</w:t>
      </w:r>
      <w:r/>
    </w:p>
    <w:p>
      <w:pPr>
        <w:ind w:right="-108" w:firstLine="567"/>
        <w:jc w:val="both"/>
        <w:spacing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1) перелік та обсяги послуг згідно з Технічним завданням, яке зазначено в Додатку 5 до Оголошення про проведення процедури закупівлі; 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складі пропозиції надається інформація стосовно гарантійного строку на надані послуги.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3) гарантійний лист</w:t>
      </w: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, в якому учасник гарантує замовнику надати послуги якісно у кількості та в терміни, встановлені замовником, а також необхідно зазначити, що матеріали та вироби, від яких залежить якість наданих послуг, будуть відповідати вимогам нормативно-правових актів.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законодавством.</w:t>
      </w:r>
      <w:r/>
    </w:p>
    <w:p>
      <w:pPr>
        <w:ind w:firstLine="567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Гарантійний ли</w:t>
      </w:r>
      <w:r>
        <w:rPr>
          <w:rFonts w:ascii="Times New Roman" w:hAnsi="Times New Roman" w:cs="Times New Roman"/>
          <w:sz w:val="24"/>
          <w:szCs w:val="24"/>
        </w:rPr>
        <w:t xml:space="preserve">ст про те, що надання послуг буде провадитися із врахуванням екологічних вимог встановлених законодавством України” та передбачати усі заходи спрямовані із захисту довкілля при постачанні товарів (наданні послуг, виконанні робіт), що є предметом закупівлі.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6) 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Учасник повинен мати власну чи залучену випробувальну (ні) дорожню (ні) лабораторію (ї) для проведення вхідного та операційного контролю (далі - вимірювальна 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лабораторія), яка спроможна виконувати контроль якості будівельних матеріалів, виробів і конструкцій, які необхідні для надання послуг, що є предметом закупівлі.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Для документального підтвердження наявності вимірювальної(-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(-й) Учасник повинен надати: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довідку в довільній формі про наявність вимірювальної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 у Учасника;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копія чинного договору з усіма додатками та невід'ємними частинами до договору про залучення сторонньої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іх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вимірювальної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 Учасником (надається щодо залученої (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их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) лабораторії (й));</w:t>
      </w:r>
      <w:r/>
    </w:p>
    <w:p>
      <w:pPr>
        <w:ind w:firstLine="567"/>
        <w:jc w:val="both"/>
        <w:spacing w:line="240" w:lineRule="auto"/>
        <w:tabs>
          <w:tab w:val="left" w:pos="1277" w:leader="none"/>
        </w:tabs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гарантійн</w:t>
      </w: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ий лист Учасника або власника (у разі залучення) про те, що під час надання послуг вимірювальна (і) лабораторія (ї), буде виконувати контроль якості будівельних матеріалів, виробів і конструкцій, які необхідні для виконання робіт, що є предметом закупівлі;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eastAsia="Helvetica" w:cs="Times New Roman"/>
          <w:sz w:val="24"/>
          <w:szCs w:val="24"/>
          <w:lang w:eastAsia="zh-CN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- документ (-и) про відповідність лабораторії вимогам чинного законодавства України (свідоцтво, рішення тощо про атестацію (сертифікацію), що видане компетентним органом та дійсне (чинне) на дату його подання Учасником.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Helvetica" w:cs="Times New Roman"/>
          <w:sz w:val="24"/>
          <w:szCs w:val="24"/>
          <w:lang w:eastAsia="zh-CN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Діючий сертифікат учасника закупівлі на систему управління якістю ISO 9001:2015, 14001:2015 та 45001:2019 на виконання робіт.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  <w:t xml:space="preserve">Переможець повинен надати </w:t>
      </w:r>
      <w:r>
        <w:rPr>
          <w:rFonts w:ascii="Times New Roman" w:hAnsi="Times New Roman" w:cs="Times New Roman"/>
          <w:sz w:val="24"/>
          <w:szCs w:val="24"/>
        </w:rPr>
        <w:t xml:space="preserve">експертну оцінку щодо справедливої вартості суми роботи зазначеної в кошторисній документації. Всі витрати на отримання експертної оцінки Замовником не оплачуються, Учаснику необхідно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вартість такої оцінки до суми тендерної пропозиції. (надати гарантійний лист).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2 128 204,80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 мільйони сто двадцять вісім тисяч двісті чотири гривні 80 коп.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contextualSpacing/>
        <w:ind w:left="34" w:right="113" w:firstLine="567"/>
        <w:jc w:val="both"/>
        <w:spacing w:line="240" w:lineRule="auto"/>
        <w:rPr>
          <w:rFonts w:ascii="Times New Roman" w:hAnsi="Times New Roman" w:eastAsia="SimSun" w:cs="Times New Roman"/>
          <w:sz w:val="24"/>
          <w:szCs w:val="24"/>
          <w:lang w:eastAsia="uk-UA"/>
        </w:rPr>
      </w:pPr>
      <w:r>
        <w:rPr>
          <w:rFonts w:ascii="Times New Roman" w:hAnsi="Times New Roman" w:eastAsia="SimSun" w:cs="Times New Roman"/>
          <w:sz w:val="24"/>
          <w:szCs w:val="24"/>
          <w:lang w:eastAsia="uk-UA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p>
      <w:pPr>
        <w:rPr>
          <w:sz w:val="2"/>
          <w:szCs w:val="2"/>
        </w:rPr>
      </w:pPr>
      <w:r>
        <w:rPr>
          <w:sz w:val="2"/>
          <w:szCs w:val="2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imSun">
    <w:panose1 w:val="02020603020101020101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1" w:customStyle="1">
    <w:name w:val="xfmc1"/>
    <w:basedOn w:val="67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105</cp:revision>
  <dcterms:created xsi:type="dcterms:W3CDTF">2022-11-01T12:47:00Z</dcterms:created>
  <dcterms:modified xsi:type="dcterms:W3CDTF">2023-05-30T10:52:51Z</dcterms:modified>
</cp:coreProperties>
</file>