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електричних побутових приладів за ДК 021:2015: 39710000-2 Електричні побутові прилади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8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011383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електричних побутових приладів</w:t>
      </w:r>
      <w:r/>
    </w:p>
    <w:p>
      <w:pPr>
        <w:jc w:val="both"/>
        <w:spacing w:after="0" w:line="240" w:lineRule="auto"/>
        <w:widowControl w:val="off"/>
      </w:pPr>
      <w:r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5053507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85"/>
              <w:rPr>
                <w:b/>
                <w:bCs/>
              </w:rPr>
            </w:pPr>
            <w:r>
              <w:rPr>
                <w:b/>
                <w:bCs/>
              </w:rPr>
              <w:t xml:space="preserve">Кулер</w:t>
            </w:r>
            <w:r>
              <w:rPr>
                <w:b/>
                <w:bCs/>
              </w:rPr>
              <w:t xml:space="preserve"> для води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11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85"/>
              <w:rPr>
                <w:b/>
                <w:bCs/>
              </w:rPr>
            </w:pPr>
            <w:r>
              <w:rPr>
                <w:b/>
                <w:bCs/>
              </w:rPr>
              <w:t xml:space="preserve">Мікрохвильова піч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7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85"/>
              <w:rPr>
                <w:b/>
                <w:bCs/>
              </w:rPr>
            </w:pPr>
            <w:r>
              <w:rPr>
                <w:b/>
                <w:bCs/>
              </w:rPr>
              <w:t xml:space="preserve">Холодильник міні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85"/>
              <w:rPr>
                <w:b/>
                <w:bCs/>
              </w:rPr>
            </w:pPr>
            <w:r>
              <w:rPr>
                <w:b/>
                <w:bCs/>
              </w:rPr>
              <w:t xml:space="preserve">Холодильник 2ві камери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85"/>
              <w:rPr>
                <w:b/>
                <w:bCs/>
              </w:rPr>
            </w:pPr>
            <w:r>
              <w:rPr>
                <w:b/>
                <w:bCs/>
              </w:rPr>
              <w:t xml:space="preserve">Електрочайник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85"/>
              <w:rPr>
                <w:b/>
                <w:bCs/>
              </w:rPr>
            </w:pPr>
            <w:r>
              <w:rPr>
                <w:b/>
                <w:bCs/>
              </w:rPr>
              <w:t xml:space="preserve">Холодильник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1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ВИМОГИ </w:t>
      </w:r>
      <w:r/>
    </w:p>
    <w:p>
      <w:pPr>
        <w:ind w:firstLine="85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/>
      <w:bookmarkStart w:id="1" w:name="_Hlk135051176"/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наведеним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мовою, гарантійні талони, тощо,  передбачених для товару. Упаковка, в якій постачається товар, повинна відповідати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 та становити не менше 12 (дванадцяти) місяців.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 (надати гарантійний лист).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8. Надати завірені копії сертифікатів відповідності на Товар, якщо такий товар підлягає сертифікації. 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bookmarkEnd w:id="1"/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/>
      <w:bookmarkStart w:id="2" w:name="_Hlk135051203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83"/>
        <w:tblW w:w="13993" w:type="dxa"/>
        <w:tblLook w:val="04A0" w:firstRow="1" w:lastRow="0" w:firstColumn="1" w:lastColumn="0" w:noHBand="0" w:noVBand="1"/>
      </w:tblPr>
      <w:tblGrid>
        <w:gridCol w:w="563"/>
        <w:gridCol w:w="6463"/>
        <w:gridCol w:w="1208"/>
        <w:gridCol w:w="1400"/>
        <w:gridCol w:w="4359"/>
      </w:tblGrid>
      <w:tr>
        <w:trPr>
          <w:gridAfter w:val="1"/>
        </w:trPr>
        <w:tc>
          <w:tcPr>
            <w:tcW w:w="56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646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gridAfter w:val="1"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W w:w="646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води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</w:t>
            </w:r>
            <w:r/>
          </w:p>
        </w:tc>
      </w:tr>
      <w:tr>
        <w:trPr>
          <w:gridAfter w:val="1"/>
        </w:trPr>
        <w:tc>
          <w:tcPr>
            <w:gridSpan w:val="4"/>
            <w:tcW w:w="963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температур води: гаряча – кімнатна;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Сучасний компактний дизайн;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Регулювання температур: ні;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Антибактеріальне покриття внутрішніх деталей, що стикаються з водою, що ефективно захищає від поширення вірусів та бактерій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Індикатор нагріву;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зберігання стаканчиків на даній моделі 12 літрова шафка;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Краники в даній моделі натискного типу, тобто для подачі води достатньо натиснути на пелюстку, і вода почне литися;</w:t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-1670050</wp:posOffset>
                      </wp:positionV>
                      <wp:extent cx="2343150" cy="2247900"/>
                      <wp:effectExtent l="0" t="0" r="0" b="0"/>
                      <wp:wrapSquare wrapText="bothSides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43150" cy="22479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8.2pt;mso-position-horizontal:absolute;mso-position-vertical-relative:text;margin-top:-131.5pt;mso-position-vertical:absolute;width:184.5pt;height:177.0pt;mso-wrap-distance-left:9.0pt;mso-wrap-distance-top:0.0pt;mso-wrap-distance-right:9.0pt;mso-wrap-distance-bottom:0.0pt;" stroked="false">
                      <v:path textboxrect="0,0,0,0"/>
                      <w10:wrap type="square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Підлоговий тип.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  <w:bookmarkEnd w:id="2"/>
            <w:r/>
          </w:p>
        </w:tc>
      </w:tr>
      <w:tr>
        <w:trPr>
          <w:gridAfter w:val="1"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646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Мікрохвильова піч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/>
          </w:p>
        </w:tc>
      </w:tr>
      <w:tr>
        <w:trPr>
          <w:gridAfter w:val="1"/>
        </w:trPr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Потужність (Вт) 700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Категорія Окремо стоїть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Об'єм 20 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Діаметр поворотного столу 24.5 см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Електронне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 Чорний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 покриття Емаль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Звичайна (соло)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Габарити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Глибина 34.6 см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Висота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26.2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см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Ширина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см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09800" cy="1600200"/>
                      <wp:effectExtent l="0" t="0" r="0" b="0"/>
                      <wp:docPr id="2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09800" cy="16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74.0pt;height:126.0pt;mso-wrap-distance-left:0.0pt;mso-wrap-distance-top:0.0pt;mso-wrap-distance-right:0.0pt;mso-wrap-distance-bottom:0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  <w:p>
            <w:pPr>
              <w:pStyle w:val="6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W w:w="646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Холодильник міні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</w:trPr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Призначення: для офісу, для готелю, для міні-бару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ВхШхГ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): 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см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об'єм: 70 л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охолодження: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краплинна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Рівень шуму: 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холодильника: однокамерний з морозильною камерою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Розташування морозильної камери: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верхнє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Управління: механічне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 енергоспоживання: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 білий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Технічні особливості Компресор: звичайний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ручок: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приховані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Панель управління: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поворотний регулятор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Розморожування холодильної камери: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крапельне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Розморожування морозильної камери: ручне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Об'єм холодильної камери: 64 л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Об'єм морозильної камери: 4 л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компресорів: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полиць: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Гарантія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12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міс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76450" cy="1857375"/>
                      <wp:effectExtent l="0" t="0" r="0" b="9525"/>
                      <wp:docPr id="3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76450" cy="1857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63.5pt;height:146.2pt;mso-wrap-distance-left:0.0pt;mso-wrap-distance-top:0.0pt;mso-wrap-distance-right:0.0pt;mso-wrap-distance-bottom:0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  <w:p>
            <w:pPr>
              <w:pStyle w:val="6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</w:t>
            </w:r>
            <w:r/>
          </w:p>
        </w:tc>
        <w:tc>
          <w:tcPr>
            <w:tcW w:w="646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Холодильник 2ві камери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/>
          </w:p>
        </w:tc>
      </w:tr>
      <w:tr>
        <w:trPr>
          <w:gridAfter w:val="1"/>
        </w:trPr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/>
          </w:p>
          <w:tbl>
            <w:tblPr>
              <w:tblStyle w:val="683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942"/>
              <w:gridCol w:w="4476"/>
            </w:tblGrid>
            <w:tr>
              <w:trPr/>
              <w:tc>
                <w:tcPr>
                  <w:tcW w:w="6204" w:type="dxa"/>
                  <w:textDirection w:val="lrTb"/>
                  <w:noWrap w:val="false"/>
                </w:tcPr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Технічні характеристики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Кількість контурів охолодження 2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 Комбінований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Двері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Перенавішуються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 енергоспоживання А++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Кліматичний клас SN-T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Загальний обсяг 338 л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Споживання електроенергії 0.69 кВт/доба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Суперзаморожування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Управління Електронне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Рівень шуму 40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дБ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Колір Чорний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Location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freezer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Нижнє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Кількість компресорів 1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Дисплей Є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Охолодження морозильної камери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NoFrost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Кількість дверей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Двохдверний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NoFrost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холодильного відділення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Зона свіжості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Матеріал полиць Загартоване скло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Об'єм холодильного відділення 234 л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Розморожування холодильного відділення Автоматичне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 зони свіжості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Fresh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Box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NoFrost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морозильної камери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Кількість полиць/контейнерів 3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Потужність заморожування 10 кг/доба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Об'єм морозильного відділення 104 л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Розморожування морозильного відділення Автоматичне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Габарити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Глибина 67.8 см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Ширина 59.6 см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191.2 см</w:t>
                  </w:r>
                  <w:r/>
                </w:p>
              </w:tc>
              <w:tc>
                <w:tcPr>
                  <w:tcW w:w="4359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2705100" cy="2409825"/>
                            <wp:effectExtent l="0" t="0" r="0" b="9525"/>
                            <wp:docPr id="4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05100" cy="2409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3" o:spid="_x0000_s3" type="#_x0000_t75" style="width:213.0pt;height:189.8pt;mso-wrap-distance-left:0.0pt;mso-wrap-distance-top:0.0pt;mso-wrap-distance-right:0.0pt;mso-wrap-distance-bottom:0.0pt;" stroked="f">
                            <v:path textboxrect="0,0,0,0"/>
                            <v:imagedata r:id="rId14" o:title=""/>
                          </v:shape>
                        </w:pict>
                      </mc:Fallback>
                    </mc:AlternateConten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  <w:p>
                  <w:pPr>
                    <w:tabs>
                      <w:tab w:val="left" w:pos="1050" w:leader="none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/>
                </w:p>
              </w:tc>
            </w:tr>
          </w:tbl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</w:t>
            </w:r>
            <w:r/>
          </w:p>
        </w:tc>
        <w:tc>
          <w:tcPr>
            <w:tcW w:w="646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Електрочайник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/>
          </w:p>
        </w:tc>
      </w:tr>
      <w:tr>
        <w:trPr>
          <w:gridAfter w:val="1"/>
        </w:trPr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Об'єм (л.) 1,7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Фільтр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з'ємний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нагрівального елемента Диск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Індикатор рівня води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 на підставці на 360°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Захист від перегріву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Світловий індикатор роботи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 Нержавіюча сталь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корпусу Пластик/метал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Потужність 2000 Вт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000" cy="1524000"/>
                      <wp:effectExtent l="0" t="0" r="0" b="0"/>
                      <wp:docPr id="5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20.0pt;height:120.0pt;mso-wrap-distance-left:0.0pt;mso-wrap-distance-top:0.0pt;mso-wrap-distance-right:0.0pt;mso-wrap-distance-bottom:0.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W w:w="56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</w:t>
            </w:r>
            <w:r/>
          </w:p>
        </w:tc>
        <w:tc>
          <w:tcPr>
            <w:tcW w:w="646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Холодильник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білий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ВхШхГ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146.5x54x60 см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Основні характеристики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об'єм: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240 л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охолодження: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крапельна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Рівень шуму: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холодильника: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двокамерний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Розташування морозильної камери: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верхнє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механічне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 енергоспоживання: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A+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Розморожування холодильної камери: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крапельне Розморожування морозильної камери: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ручне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холодильної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морозильної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компресорів: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Потужність заморожування: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Кліматичний клас: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(від +10° до +32°),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(від +18° до +38°)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Функції: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-освітлення на задній стінці.</w:t>
            </w:r>
            <w:r/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ручок: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приховані.</w:t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76475" cy="2276475"/>
                      <wp:effectExtent l="0" t="0" r="9525" b="9525"/>
                      <wp:docPr id="6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76475" cy="2276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79.2pt;height:179.2pt;mso-wrap-distance-left:0.0pt;mso-wrap-distance-top:0.0pt;mso-wrap-distance-right:0.0pt;mso-wrap-distance-bottom:0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W w:w="43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bookmarkEnd w:id="0"/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141 519,00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сорок одна тисяча п’ятсот дев’ятнадцять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34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png"/><Relationship Id="rId13" Type="http://schemas.openxmlformats.org/officeDocument/2006/relationships/image" Target="media/image3.jpg"/><Relationship Id="rId14" Type="http://schemas.openxmlformats.org/officeDocument/2006/relationships/image" Target="media/image4.png"/><Relationship Id="rId15" Type="http://schemas.openxmlformats.org/officeDocument/2006/relationships/image" Target="media/image5.jpg"/><Relationship Id="rId16" Type="http://schemas.openxmlformats.org/officeDocument/2006/relationships/image" Target="media/image6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88</cp:revision>
  <dcterms:created xsi:type="dcterms:W3CDTF">2022-11-01T12:47:00Z</dcterms:created>
  <dcterms:modified xsi:type="dcterms:W3CDTF">2023-05-19T11:03:05Z</dcterms:modified>
</cp:coreProperties>
</file>