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683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  <w:u w:val="single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Шафа серверна підлогова 19’’ 42U в комплекті із 2 (двома) блоками розподілу живлення вертикальними на 9 розеток  за кодом CPV за ЄЗС ДК 021:2015: 48820000-2 Сервери</w:t>
      </w:r>
      <w:r>
        <w:rPr>
          <w:b w:val="0"/>
          <w:bCs w:val="0"/>
          <w:sz w:val="24"/>
          <w:szCs w:val="24"/>
        </w:rPr>
        <w:t xml:space="preserve">.</w:t>
      </w:r>
      <w:r/>
    </w:p>
    <w:p>
      <w:pPr>
        <w:pStyle w:val="695"/>
        <w:ind w:left="0"/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.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UA-2023-0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03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000603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 </w:t>
      </w:r>
      <w:bookmarkStart w:id="0" w:name="_Hlk133583335"/>
      <w:r>
        <w:rPr>
          <w:rFonts w:ascii="Times New Roman" w:hAnsi="Times New Roman" w:cs="Times New Roman"/>
          <w:sz w:val="24"/>
          <w:szCs w:val="24"/>
        </w:rPr>
        <w:t xml:space="preserve">Шафа серверна підлогова 19’’ 42U в комплекті із 2 (двома) блоками розподілу живлення вертикальними на 9 розеток</w:t>
      </w:r>
      <w:r>
        <w:rPr>
          <w:sz w:val="24"/>
          <w:szCs w:val="24"/>
        </w:rPr>
        <w:t xml:space="preserve">  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/>
      <w:bookmarkStart w:id="1" w:name="_Hlk133585300"/>
      <w:r/>
      <w:bookmarkEnd w:id="0"/>
      <w:r/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ТЕХНІЧНІ ВИМОГИ</w:t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/>
    </w:p>
    <w:tbl>
      <w:tblPr>
        <w:tblStyle w:val="689"/>
        <w:tblW w:w="9634" w:type="dxa"/>
        <w:tblLook w:val="04A0" w:firstRow="1" w:lastRow="0" w:firstColumn="1" w:lastColumn="0" w:noHBand="0" w:noVBand="1"/>
      </w:tblPr>
      <w:tblGrid>
        <w:gridCol w:w="562"/>
        <w:gridCol w:w="5670"/>
        <w:gridCol w:w="1701"/>
        <w:gridCol w:w="1701"/>
      </w:tblGrid>
      <w:tr>
        <w:trPr/>
        <w:tc>
          <w:tcPr>
            <w:tcW w:w="562" w:type="dxa"/>
            <w:textDirection w:val="lrTb"/>
            <w:noWrap w:val="false"/>
          </w:tcPr>
          <w:p>
            <w:pPr>
              <w:pStyle w:val="6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п/п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6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Назва системи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Одиниця виміру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Кількість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691"/>
              <w:jc w:val="center"/>
            </w:pPr>
            <w:r>
              <w:rPr>
                <w:b/>
                <w:bCs/>
              </w:rPr>
              <w:t xml:space="preserve">1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691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Шафа серверна підлогова 19’’ 42U в комплекті із 2 (двома) блоками розподілу живлення вертикальними на 9 розеток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шт.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10</w:t>
            </w:r>
            <w:r/>
          </w:p>
        </w:tc>
      </w:tr>
    </w:tbl>
    <w:p>
      <w:pPr>
        <w:pStyle w:val="691"/>
        <w:jc w:val="both"/>
        <w:spacing w:after="0" w:line="240" w:lineRule="auto"/>
        <w:rPr>
          <w:b/>
          <w:bCs/>
          <w:i/>
          <w:iCs/>
          <w:lang w:eastAsia="ru-RU"/>
        </w:rPr>
      </w:pPr>
      <w:r>
        <w:rPr>
          <w:b/>
          <w:bCs/>
          <w:i/>
          <w:iCs/>
          <w:lang w:eastAsia="ru-RU"/>
        </w:rPr>
      </w:r>
      <w:r/>
    </w:p>
    <w:p>
      <w:pPr>
        <w:pStyle w:val="691"/>
        <w:jc w:val="both"/>
        <w:spacing w:after="0" w:line="240" w:lineRule="auto"/>
        <w:rPr>
          <w:b/>
          <w:bCs/>
          <w:i/>
          <w:iCs/>
          <w:lang w:eastAsia="ru-RU"/>
        </w:rPr>
      </w:pPr>
      <w:r>
        <w:rPr>
          <w:b/>
          <w:bCs/>
          <w:i/>
          <w:iCs/>
          <w:lang w:eastAsia="ru-RU"/>
        </w:rPr>
        <w:t xml:space="preserve">У ціну мають бути включені прямі, загальновиробничі та адміністративні витрати з урахуванням витрат, у тому ч</w:t>
      </w:r>
      <w:r>
        <w:rPr>
          <w:b/>
          <w:bCs/>
          <w:i/>
          <w:iCs/>
          <w:lang w:eastAsia="ru-RU"/>
        </w:rPr>
        <w:t xml:space="preserve">ислі, але не виключно: транспортні витрати, доплати працівникам у зв’язку з втратою часу в дорозі, зв’язок, страхування, спецзасоби, а також економічно обґрунтований прибуток, який Постачальник планує отримати в результаті продажу, кошти на покриття ризикі</w:t>
      </w:r>
      <w:r>
        <w:rPr>
          <w:b/>
          <w:bCs/>
          <w:i/>
          <w:iCs/>
          <w:lang w:eastAsia="ru-RU"/>
        </w:rPr>
        <w:t xml:space="preserve">в та/або додаткових витрат, пов’язаних з інфляційними процесами, усі податки і збори, обов’язкові платежі, що сплачуються або мають бути сплачені Постачальником для поставки Товару, зокрема податок на додану вартість, інші витрати, необхідні для виконання </w:t>
      </w:r>
      <w:r>
        <w:rPr>
          <w:b/>
          <w:bCs/>
          <w:i/>
          <w:iCs/>
          <w:lang w:eastAsia="ru-RU"/>
        </w:rPr>
        <w:t xml:space="preserve">проєкту</w:t>
      </w:r>
      <w:r>
        <w:rPr>
          <w:b/>
          <w:bCs/>
          <w:i/>
          <w:iCs/>
          <w:lang w:eastAsia="ru-RU"/>
        </w:rPr>
        <w:t xml:space="preserve"> Договору до моменту його повного завершення</w:t>
      </w:r>
      <w:r>
        <w:rPr>
          <w:b/>
          <w:bCs/>
          <w:i/>
          <w:iCs/>
        </w:rPr>
        <w:t xml:space="preserve">.</w:t>
      </w:r>
      <w:r/>
    </w:p>
    <w:p>
      <w:pPr>
        <w:pStyle w:val="691"/>
        <w:ind w:firstLine="567"/>
        <w:jc w:val="both"/>
        <w:spacing w:after="0" w:line="240" w:lineRule="auto"/>
        <w:rPr>
          <w:color w:val="000000" w:themeColor="text1"/>
          <w:shd w:val="clear" w:color="auto" w:fill="ffffff"/>
        </w:rPr>
      </w:pPr>
      <w:r/>
      <w:bookmarkStart w:id="2" w:name="_Hlk131598067"/>
      <w:r>
        <w:rPr>
          <w:color w:val="000000" w:themeColor="text1"/>
          <w:shd w:val="clear" w:color="auto" w:fill="ffffff"/>
        </w:rPr>
        <w:t xml:space="preserve">1. Товар повинен постачатись новим в упаковці та з маркуванням виробника, а також повинна бути в наявності технічна документація, яка входить до комплекту постачання фірми-виробника. 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2. У разі постачання неякісного Товару, Постачальник забезпечує заміну неякісного Товару якісним за власний рахунок при пред’явлені Покупцем не пізніше 7 робочих днів після отримання Товару.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3. Наявність заявлених Покупцем недоліків та причини їх виникнення повинно встановлюватись актом обстеження технічного стану Товару, який обов’язково укладається між Сторонами і є підставою для усунення Постачальником недоліків Товару у термін, що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узгоджується за домовленістю Сторін. Акт обстеження технічного стану складається сервісним (технічним) центром Постачальника за участю представника Покупця. 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Виконання постачання повинно здійснюватися у відповідно до діючих нормативно-правових документів та умов цього </w:t>
      </w:r>
      <w:r>
        <w:rPr>
          <w:rFonts w:ascii="Times New Roman" w:hAnsi="Times New Roman" w:cs="Times New Roman"/>
          <w:sz w:val="24"/>
          <w:szCs w:val="24"/>
        </w:rPr>
        <w:t xml:space="preserve">проєкту</w:t>
      </w:r>
      <w:r>
        <w:rPr>
          <w:rFonts w:ascii="Times New Roman" w:hAnsi="Times New Roman" w:cs="Times New Roman"/>
          <w:sz w:val="24"/>
          <w:szCs w:val="24"/>
        </w:rPr>
        <w:t xml:space="preserve"> Договору.</w:t>
      </w:r>
      <w:bookmarkStart w:id="3" w:name="_Hlk131682113"/>
      <w:r/>
      <w:bookmarkEnd w:id="2"/>
      <w:r/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Надати у складі пропозиції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копію чинної ліцензії </w:t>
      </w:r>
      <w:r>
        <w:rPr>
          <w:rFonts w:ascii="Times New Roman" w:hAnsi="Times New Roman" w:cs="Times New Roman"/>
          <w:sz w:val="24"/>
          <w:szCs w:val="24"/>
        </w:rPr>
        <w:t xml:space="preserve">або документа дозвільного характеру (у разі їх наявності) на провадження певного виду господарської діяльності, якщо отримання дозволу або ліцензії на провадження такого виду діяльності передбачено законом.</w:t>
      </w:r>
      <w:bookmarkEnd w:id="3"/>
      <w:r>
        <w:rPr>
          <w:rFonts w:ascii="Times New Roman" w:hAnsi="Times New Roman" w:cs="Times New Roman"/>
          <w:sz w:val="24"/>
          <w:szCs w:val="24"/>
        </w:rPr>
        <w:t xml:space="preserve"> 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Надати у складі пропозиції сертифікати відповідності виробника та/або технічні паспорти та/або гарантійний лист, що такі сертифікати наявні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eastAsia="Calibri" w:cs="Times New Roman"/>
          <w:sz w:val="24"/>
          <w:szCs w:val="24"/>
        </w:rPr>
        <w:t xml:space="preserve">Гарантійні зобов’язання (всіх найменувань) повинні бути не менше строків, визначених технічними умовами виробника даних товарів.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Постачальник повинен забезпечити обслуговування (підтримку) протягом гарантійного терміну.</w:t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У разі, якщо характеристики товару, що пропонується Учасником до постачання, відрізняються від характеристик, які вимагаються Замовником, такий учасник у складі тендерної пропозиції надає таблицю відповідності за нижченаведеною формою.</w:t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p>
      <w:pPr>
        <w:contextualSpacing/>
        <w:ind w:left="14" w:firstLine="538"/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Таблиця відповідності</w:t>
      </w:r>
      <w:r/>
    </w:p>
    <w:p>
      <w:pPr>
        <w:contextualSpacing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tbl>
      <w:tblPr>
        <w:tblpPr w:horzAnchor="margin" w:tblpXSpec="left" w:vertAnchor="text" w:tblpY="-62" w:leftFromText="180" w:topFromText="0" w:rightFromText="180" w:bottomFromText="0"/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97"/>
        <w:gridCol w:w="2928"/>
        <w:gridCol w:w="3163"/>
        <w:gridCol w:w="2943"/>
      </w:tblGrid>
      <w:tr>
        <w:trPr/>
        <w:tc>
          <w:tcPr>
            <w:tcW w:w="997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№ з/п</w:t>
            </w:r>
            <w:r/>
          </w:p>
        </w:tc>
        <w:tc>
          <w:tcPr>
            <w:tcW w:w="2928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Характеристика</w:t>
            </w:r>
            <w:r/>
          </w:p>
        </w:tc>
        <w:tc>
          <w:tcPr>
            <w:tcW w:w="3163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визначені Замовником</w:t>
            </w:r>
            <w:r/>
          </w:p>
        </w:tc>
        <w:tc>
          <w:tcPr>
            <w:tcW w:w="2943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 пропонуються Учасником</w:t>
            </w:r>
            <w:r/>
          </w:p>
        </w:tc>
      </w:tr>
    </w:tbl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Товар повинен відповідати вимогам: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Закону України від 14.08.2014р. № 1644-VІІ «Про санкції»,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Указу Президента України від 15.05.2017р. № 133/2017 «Про рішення Ради національної безпеки і оборони України від 28 квітня 2017 року «Про застосування персональних спеціальних економічних та інших обмежувальних заходів (санкцій)»,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Постанови КМУ від 16.12.2015р. № 1035 «Про обмеження поставок окремих товарів(робіт, послуг) з тимчасово окупованої території на іншу територію України та/або з іншої території України на тимчасово окуповану територію»,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п/п. 4 п.2 частини першої Розпорядження Кабінету Міністрів України від 11.09.2014 р. №829-р «Про пропозиції щодо застосування персональних спеціальних економічних та інших обмежувальних заходів», згідно з якими заборонено здійснення державних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закупівель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товарів, робіт і послуг у юридичних осіб - резидентів Російської Федерації державної форми власності та юридичних осіб, частка статутного капіталу яких перебуває у власності Російської Федерації, а та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кож у інших суб’єктів господарювання, що здійснюють продаж товарів, робіт і послуг походженням з Російської Федерації, крім випадків, коли заміщення таких предметів закупівлі іншими неможливе, що підтверджено Міністерством економічного розвитку і торгівлі.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У разі якщо товар не відповідає технічним вимогам Замовника або Учасник не в змозі виконати умови поставки, які визначені Замовником, Пропозиція відхиляється.</w:t>
      </w:r>
      <w:r/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687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/>
      <w:bookmarkStart w:id="4" w:name="_Hlk136700760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СПЕЦИФІКАЦІЯ:</w:t>
      </w:r>
      <w:r/>
    </w:p>
    <w:p>
      <w:pPr>
        <w:pStyle w:val="687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r>
      <w:r/>
    </w:p>
    <w:tbl>
      <w:tblPr>
        <w:tblStyle w:val="689"/>
        <w:tblW w:w="9634" w:type="dxa"/>
        <w:tblLook w:val="04A0" w:firstRow="1" w:lastRow="0" w:firstColumn="1" w:lastColumn="0" w:noHBand="0" w:noVBand="1"/>
      </w:tblPr>
      <w:tblGrid>
        <w:gridCol w:w="456"/>
        <w:gridCol w:w="6564"/>
        <w:gridCol w:w="1208"/>
        <w:gridCol w:w="1406"/>
      </w:tblGrid>
      <w:tr>
        <w:trPr/>
        <w:tc>
          <w:tcPr>
            <w:tcW w:w="456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W w:w="656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Найменування обладнання</w:t>
            </w:r>
            <w:r/>
          </w:p>
        </w:tc>
        <w:tc>
          <w:tcPr>
            <w:tcW w:w="120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Одиниця виміру</w:t>
            </w:r>
            <w:r/>
          </w:p>
        </w:tc>
        <w:tc>
          <w:tcPr>
            <w:tcW w:w="1406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Кількість</w:t>
            </w:r>
            <w:r/>
          </w:p>
        </w:tc>
      </w:tr>
      <w:tr>
        <w:trPr/>
        <w:tc>
          <w:tcPr>
            <w:tcW w:w="456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</w:t>
            </w:r>
            <w:r/>
          </w:p>
        </w:tc>
        <w:tc>
          <w:tcPr>
            <w:tcW w:w="656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Шафа серверна підлогова 19’’ 42U в комплекті із 2 (двома) блоками розподілу живлення вертикальними на 9 розеток,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 складі:</w:t>
            </w:r>
            <w:r/>
          </w:p>
        </w:tc>
        <w:tc>
          <w:tcPr>
            <w:tcW w:w="120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шт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/>
          </w:p>
        </w:tc>
        <w:tc>
          <w:tcPr>
            <w:tcW w:w="1406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</w:t>
            </w:r>
            <w:r/>
          </w:p>
        </w:tc>
      </w:tr>
      <w:tr>
        <w:trPr/>
        <w:tc>
          <w:tcPr>
            <w:tcW w:w="45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65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Блок розподілу живлення вертикальний  на 9 розеток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Силовий блок 19 "на 9 розеток призначений для розподілу живлення телекомунікаційного обладнання встановленого в серверну шафу.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Блок виконаний у металевому корпусі, в якому розміщені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гнізда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під вилку стандарту CEE 7/7. На лицьовій панелі розташований зелений світлодіодний індикатор наявності живлення. На задній панелі блоку знаходиться роз'єм C14 для підключення кабелю живлення. Блок розрахований на напругу 220-250 В, силу струму 16 А, 50-60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Характеристики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Формфактор 19 ";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Висота 1U;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 розеток: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Schuko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розеток: 9;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Світлодіодний індикатор наявності живлення;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Підключення живлення: роз'єм C14;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Поставляється без кабелю;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Напруга живлення: 220 В;</w:t>
            </w:r>
            <w:r/>
          </w:p>
          <w:p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Металічний корпус; Максимальний дозволений вага обладнання встановленого в шафі: 1500 кг</w:t>
            </w:r>
            <w:r/>
          </w:p>
        </w:tc>
        <w:tc>
          <w:tcPr>
            <w:tcW w:w="120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</w:t>
            </w:r>
            <w:r/>
          </w:p>
        </w:tc>
        <w:tc>
          <w:tcPr>
            <w:tcW w:w="140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/>
          </w:p>
        </w:tc>
      </w:tr>
    </w:tbl>
    <w:p>
      <w:pPr>
        <w:ind w:firstLine="567"/>
        <w:jc w:val="both"/>
        <w:spacing w:after="0" w:line="240" w:lineRule="auto"/>
        <w:tabs>
          <w:tab w:val="left" w:pos="-2268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/>
    </w:p>
    <w:tbl>
      <w:tblPr>
        <w:tblStyle w:val="689"/>
        <w:tblW w:w="9634" w:type="dxa"/>
        <w:tblLook w:val="04A0" w:firstRow="1" w:lastRow="0" w:firstColumn="1" w:lastColumn="0" w:noHBand="0" w:noVBand="1"/>
      </w:tblPr>
      <w:tblGrid>
        <w:gridCol w:w="456"/>
        <w:gridCol w:w="6627"/>
        <w:gridCol w:w="1276"/>
        <w:gridCol w:w="1275"/>
      </w:tblGrid>
      <w:tr>
        <w:trPr>
          <w:trHeight w:val="537"/>
        </w:trPr>
        <w:tc>
          <w:tcPr>
            <w:tcW w:w="456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W w:w="6627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Найменування обладнання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Одиниця виміру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Кількість</w:t>
            </w:r>
            <w:r/>
          </w:p>
        </w:tc>
      </w:tr>
      <w:tr>
        <w:trPr/>
        <w:tc>
          <w:tcPr>
            <w:tcW w:w="45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6627" w:type="dxa"/>
            <w:vAlign w:val="center"/>
            <w:textDirection w:val="lrTb"/>
            <w:noWrap w:val="false"/>
          </w:tcPr>
          <w:p>
            <w:pPr>
              <w:pStyle w:val="70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Шафа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серверна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підлогова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19" 42U</w:t>
            </w:r>
            <w:r/>
          </w:p>
          <w:p>
            <w:pPr>
              <w:pStyle w:val="70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Висота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менше</w:t>
            </w:r>
            <w:r/>
          </w:p>
          <w:p>
            <w:pPr>
              <w:pStyle w:val="7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Габарити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ШхГ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600x1000 (ширина: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фіксована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глибина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/>
          </w:p>
          <w:p>
            <w:pPr>
              <w:pStyle w:val="7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Шафа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серверна</w:t>
            </w:r>
            <w:r/>
          </w:p>
          <w:p>
            <w:pPr>
              <w:pStyle w:val="7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Поставляється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розібраному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вигляді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Устаткування кріпиться на монтажні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стійки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ширина між напрямними становить 19 дюймів (482,6 мм). Бічні двері знімні і дозволяють отримати доступ до обладнання з 4-х сторін. Для зручності експлуатації передні двері оснащена поворотною ручкою і замком.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Фасадні двері з розжареного скла або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перфаровані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ручкою та замком.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Перфарована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задня стінка. Шафа призначена для експлуатації в приміщеннях при температурі від + 5 ° С по + 45 ° С, з відносною вологістю до 80%.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Характеристика: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Висота шафи: 42U не менше;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Ширина шафи: 600 мм фіксована;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Корисна глибина шафи: не менше 1000 мм;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Максимальне навантаження 550 кг не менше;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Поворотна ручка і замок;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Знімні бічні двері;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Матеріал корпусу: сталь;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Матеріал двері: скло, або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перфарований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метал;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Кліматичне виконання УХЛ категорії 4.2 за ГОСТ 15150;</w:t>
            </w:r>
            <w:r/>
          </w:p>
          <w:p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Температурний режим роботи: +5 ~ 45 ° C, вологість до 80%;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bookmarkEnd w:id="1"/>
            <w:bookmarkEnd w:id="4"/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 разі, якщо у цій тендерній документації (у тому числі у технічній специфікації) міститься посилання: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стандартні характеристики, технічні регламенти та умови, вимоги, умовні позначення та термінологію, пов’язані з товарами, роботами чи послугами, що закуповуються, передбачені існуючими міжнародними, європейським</w:t>
      </w:r>
      <w:r>
        <w:rPr>
          <w:rFonts w:ascii="Times New Roman" w:hAnsi="Times New Roman" w:cs="Times New Roman"/>
          <w:i/>
          <w:sz w:val="24"/>
          <w:szCs w:val="24"/>
        </w:rPr>
        <w:t xml:space="preserve">и стандартами, іншими спільними технічними європейськими нормами, іншими технічними еталонними системами, визнаними європейськими органами зі стандартизації або національними стандартами, нормами та правилами – вважати, що міститься вираз «або еквівалент»;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ко</w:t>
      </w:r>
      <w:r>
        <w:rPr>
          <w:rFonts w:ascii="Times New Roman" w:hAnsi="Times New Roman" w:cs="Times New Roman"/>
          <w:i/>
          <w:sz w:val="24"/>
          <w:szCs w:val="24"/>
        </w:rPr>
        <w:t xml:space="preserve">нкретні марку чи виробника або на конкретний процес, що характеризує продукт чи послугу певного суб’єкта господарювання, чи на торгові марки, патенти, типи або конкретне місце походження чи спосіб виробництва – вважати, що міститься вираз «або еквівалент».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У випадку надання учасником еквіваленту він має надати порівняльну таблицю запропонованих товарів з товарами, які вимагаються Замовником. Якщо Учасник пропонує товар, технічні характеристики якого відрізняються від наведених вище, він повинен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обов’язково надати порівняльну таблицю щодо відповідності технічних характеристик запропонованого товару наведеним Замовником характеристикам. Товар має бути з технічними та якісними характеристиками рівноцінними, або покращеними, ніж визначені Замовником.</w:t>
      </w:r>
      <w:r/>
    </w:p>
    <w:p>
      <w:pPr>
        <w:contextualSpacing/>
        <w:jc w:val="both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304 686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67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триста чотири тисячі шістсот вісімдесят шість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гривень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67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3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8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13"/>
  </w:num>
  <w:num w:numId="2">
    <w:abstractNumId w:val="10"/>
  </w:num>
  <w:num w:numId="3">
    <w:abstractNumId w:val="5"/>
  </w:num>
  <w:num w:numId="4">
    <w:abstractNumId w:val="11"/>
  </w:num>
  <w:num w:numId="5">
    <w:abstractNumId w:val="4"/>
  </w:num>
  <w:num w:numId="6">
    <w:abstractNumId w:val="14"/>
  </w:num>
  <w:num w:numId="7">
    <w:abstractNumId w:val="7"/>
  </w:num>
  <w:num w:numId="8">
    <w:abstractNumId w:val="16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6"/>
  </w:num>
  <w:num w:numId="13">
    <w:abstractNumId w:val="2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5"/>
  </w:num>
  <w:num w:numId="17">
    <w:abstractNumId w:val="0"/>
  </w:num>
  <w:num w:numId="18">
    <w:abstractNumId w:val="1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82"/>
    <w:next w:val="682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84"/>
    <w:link w:val="1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84"/>
    <w:link w:val="683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82"/>
    <w:next w:val="682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8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82"/>
    <w:next w:val="682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8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82"/>
    <w:next w:val="682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8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82"/>
    <w:next w:val="682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8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82"/>
    <w:next w:val="682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8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82"/>
    <w:next w:val="682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8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82"/>
    <w:next w:val="682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8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82"/>
    <w:next w:val="682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84"/>
    <w:link w:val="34"/>
    <w:uiPriority w:val="10"/>
    <w:rPr>
      <w:sz w:val="48"/>
      <w:szCs w:val="48"/>
    </w:rPr>
  </w:style>
  <w:style w:type="paragraph" w:styleId="36">
    <w:name w:val="Subtitle"/>
    <w:basedOn w:val="682"/>
    <w:next w:val="682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84"/>
    <w:link w:val="36"/>
    <w:uiPriority w:val="11"/>
    <w:rPr>
      <w:sz w:val="24"/>
      <w:szCs w:val="24"/>
    </w:rPr>
  </w:style>
  <w:style w:type="paragraph" w:styleId="38">
    <w:name w:val="Quote"/>
    <w:basedOn w:val="682"/>
    <w:next w:val="682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82"/>
    <w:next w:val="682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82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84"/>
    <w:link w:val="42"/>
    <w:uiPriority w:val="99"/>
  </w:style>
  <w:style w:type="character" w:styleId="45">
    <w:name w:val="Footer Char"/>
    <w:basedOn w:val="684"/>
    <w:link w:val="693"/>
    <w:uiPriority w:val="99"/>
  </w:style>
  <w:style w:type="paragraph" w:styleId="46">
    <w:name w:val="Caption"/>
    <w:basedOn w:val="682"/>
    <w:next w:val="68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93"/>
    <w:uiPriority w:val="99"/>
  </w:style>
  <w:style w:type="table" w:styleId="49">
    <w:name w:val="Table Grid Light"/>
    <w:basedOn w:val="6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82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84"/>
    <w:uiPriority w:val="99"/>
    <w:unhideWhenUsed/>
    <w:rPr>
      <w:vertAlign w:val="superscript"/>
    </w:rPr>
  </w:style>
  <w:style w:type="paragraph" w:styleId="178">
    <w:name w:val="endnote text"/>
    <w:basedOn w:val="682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84"/>
    <w:uiPriority w:val="99"/>
    <w:semiHidden/>
    <w:unhideWhenUsed/>
    <w:rPr>
      <w:vertAlign w:val="superscript"/>
    </w:rPr>
  </w:style>
  <w:style w:type="paragraph" w:styleId="181">
    <w:name w:val="toc 1"/>
    <w:basedOn w:val="682"/>
    <w:next w:val="682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82"/>
    <w:next w:val="682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82"/>
    <w:next w:val="682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82"/>
    <w:next w:val="682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82"/>
    <w:next w:val="682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82"/>
    <w:next w:val="682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82"/>
    <w:next w:val="682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82"/>
    <w:next w:val="682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82"/>
    <w:next w:val="682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82"/>
    <w:next w:val="682"/>
    <w:uiPriority w:val="99"/>
    <w:unhideWhenUsed/>
    <w:pPr>
      <w:spacing w:after="0" w:afterAutospacing="0"/>
    </w:pPr>
  </w:style>
  <w:style w:type="paragraph" w:styleId="682" w:default="1">
    <w:name w:val="Normal"/>
    <w:qFormat/>
    <w:rPr>
      <w:lang w:val="uk-UA"/>
    </w:rPr>
  </w:style>
  <w:style w:type="paragraph" w:styleId="683">
    <w:name w:val="Heading 2"/>
    <w:basedOn w:val="682"/>
    <w:link w:val="702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684" w:default="1">
    <w:name w:val="Default Paragraph Font"/>
    <w:uiPriority w:val="1"/>
    <w:semiHidden/>
    <w:unhideWhenUsed/>
  </w:style>
  <w:style w:type="table" w:styleId="68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6" w:default="1">
    <w:name w:val="No List"/>
    <w:uiPriority w:val="99"/>
    <w:semiHidden/>
    <w:unhideWhenUsed/>
  </w:style>
  <w:style w:type="paragraph" w:styleId="687">
    <w:name w:val="List Paragraph"/>
    <w:basedOn w:val="682"/>
    <w:link w:val="688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688" w:customStyle="1">
    <w:name w:val="Абзац списку Знак"/>
    <w:link w:val="687"/>
    <w:uiPriority w:val="34"/>
    <w:rPr>
      <w:rFonts w:ascii="Calibri" w:hAnsi="Calibri" w:eastAsia="Calibri" w:cs="Calibri"/>
      <w:lang w:eastAsia="zh-CN"/>
    </w:rPr>
  </w:style>
  <w:style w:type="table" w:styleId="689">
    <w:name w:val="Table Grid"/>
    <w:basedOn w:val="685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0" w:customStyle="1">
    <w:name w:val="Сетка таблицы2"/>
    <w:basedOn w:val="685"/>
    <w:next w:val="689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1">
    <w:name w:val="Normal (Web)"/>
    <w:basedOn w:val="682"/>
    <w:link w:val="698"/>
    <w:unhideWhenUsed/>
    <w:qFormat/>
    <w:rPr>
      <w:rFonts w:ascii="Times New Roman" w:hAnsi="Times New Roman" w:cs="Times New Roman"/>
      <w:sz w:val="24"/>
      <w:szCs w:val="24"/>
    </w:rPr>
  </w:style>
  <w:style w:type="table" w:styleId="692" w:customStyle="1">
    <w:name w:val="Сетка таблицы1"/>
    <w:basedOn w:val="685"/>
    <w:next w:val="689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3">
    <w:name w:val="Footer"/>
    <w:basedOn w:val="682"/>
    <w:link w:val="694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694" w:customStyle="1">
    <w:name w:val="Нижній колонтитул Знак"/>
    <w:basedOn w:val="684"/>
    <w:link w:val="693"/>
    <w:uiPriority w:val="99"/>
    <w:rPr>
      <w:rFonts w:ascii="Calibri" w:hAnsi="Calibri" w:eastAsia="Calibri" w:cs="Calibri"/>
      <w:lang w:eastAsia="zh-CN"/>
    </w:rPr>
  </w:style>
  <w:style w:type="paragraph" w:styleId="695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696">
    <w:name w:val="Hyperlink"/>
    <w:basedOn w:val="684"/>
    <w:uiPriority w:val="99"/>
    <w:unhideWhenUsed/>
    <w:rPr>
      <w:color w:val="0563c1" w:themeColor="hyperlink"/>
      <w:u w:val="single"/>
    </w:rPr>
  </w:style>
  <w:style w:type="character" w:styleId="697" w:customStyle="1">
    <w:name w:val="xfm_93972720"/>
    <w:basedOn w:val="684"/>
  </w:style>
  <w:style w:type="character" w:styleId="698" w:customStyle="1">
    <w:name w:val="Звичайний (веб) Знак"/>
    <w:link w:val="691"/>
    <w:qFormat/>
    <w:rPr>
      <w:rFonts w:ascii="Times New Roman" w:hAnsi="Times New Roman" w:cs="Times New Roman"/>
      <w:sz w:val="24"/>
      <w:szCs w:val="24"/>
      <w:lang w:val="uk-UA"/>
    </w:rPr>
  </w:style>
  <w:style w:type="paragraph" w:styleId="699">
    <w:name w:val="Body Text 2"/>
    <w:basedOn w:val="682"/>
    <w:link w:val="700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00" w:customStyle="1">
    <w:name w:val="Основний текст 2 Знак"/>
    <w:basedOn w:val="684"/>
    <w:link w:val="6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01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02" w:customStyle="1">
    <w:name w:val="Заголовок 2 Знак"/>
    <w:basedOn w:val="684"/>
    <w:link w:val="683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03">
    <w:name w:val="No Spacing"/>
    <w:link w:val="704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04" w:customStyle="1">
    <w:name w:val="Без інтервалів Знак"/>
    <w:basedOn w:val="684"/>
    <w:link w:val="703"/>
    <w:uiPriority w:val="1"/>
    <w:rPr>
      <w:rFonts w:ascii="Calibri" w:hAnsi="Calibri" w:eastAsia="Calibri" w:cs="Times New Roman"/>
      <w:lang w:val="uk-UA"/>
    </w:rPr>
  </w:style>
  <w:style w:type="character" w:styleId="705" w:customStyle="1">
    <w:name w:val="Другое_"/>
    <w:basedOn w:val="684"/>
    <w:link w:val="706"/>
    <w:rPr>
      <w:rFonts w:ascii="Calibri" w:hAnsi="Calibri" w:eastAsia="Calibri" w:cs="Calibri"/>
      <w:sz w:val="20"/>
      <w:szCs w:val="20"/>
    </w:rPr>
  </w:style>
  <w:style w:type="paragraph" w:styleId="706" w:customStyle="1">
    <w:name w:val="Другое"/>
    <w:basedOn w:val="682"/>
    <w:link w:val="705"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ONLYOFFICE/7.3.3.49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98</cp:revision>
  <dcterms:created xsi:type="dcterms:W3CDTF">2022-11-01T12:47:00Z</dcterms:created>
  <dcterms:modified xsi:type="dcterms:W3CDTF">2023-06-05T14:08:37Z</dcterms:modified>
</cp:coreProperties>
</file>