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5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/>
          <w:color w:val="000000"/>
          <w:sz w:val="24"/>
          <w:szCs w:val="24"/>
        </w:rPr>
        <w:t xml:space="preserve">Послуги з відновлення дворової каналізаційної мережі та колодязів за </w:t>
      </w:r>
      <w:r>
        <w:rPr>
          <w:rFonts w:ascii="Times New Roman" w:hAnsi="Times New Roman"/>
          <w:color w:val="000000"/>
          <w:sz w:val="24"/>
          <w:szCs w:val="24"/>
        </w:rPr>
        <w:t xml:space="preserve">адресою</w:t>
      </w:r>
      <w:r>
        <w:rPr>
          <w:rFonts w:ascii="Times New Roman" w:hAnsi="Times New Roman"/>
          <w:color w:val="000000"/>
          <w:sz w:val="24"/>
          <w:szCs w:val="24"/>
        </w:rPr>
        <w:t xml:space="preserve">:  вул. Волинська, 26 у Солом'янському районі м. Києва за ДК 021:2015: 45330000-9 Водопровідні та санітарно-технічні роботи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06965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/>
          <w:color w:val="000000"/>
          <w:sz w:val="24"/>
          <w:szCs w:val="24"/>
        </w:rPr>
        <w:t xml:space="preserve">Послуги з відновлення дворової каналізаційної мережі та колодязів за </w:t>
      </w:r>
      <w:r>
        <w:rPr>
          <w:rFonts w:ascii="Times New Roman" w:hAnsi="Times New Roman"/>
          <w:color w:val="000000"/>
          <w:sz w:val="24"/>
          <w:szCs w:val="24"/>
        </w:rPr>
        <w:t xml:space="preserve">адресою</w:t>
      </w:r>
      <w:r>
        <w:rPr>
          <w:rFonts w:ascii="Times New Roman" w:hAnsi="Times New Roman"/>
          <w:color w:val="000000"/>
          <w:sz w:val="24"/>
          <w:szCs w:val="24"/>
        </w:rPr>
        <w:t xml:space="preserve">:  вул. Волинська, 26 у Солом'янському районі м. Києва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357"/>
        <w:jc w:val="center"/>
        <w:spacing w:line="264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W w:w="1047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"/>
        <w:gridCol w:w="578"/>
        <w:gridCol w:w="5497"/>
        <w:gridCol w:w="1447"/>
        <w:gridCol w:w="1447"/>
        <w:gridCol w:w="1387"/>
        <w:gridCol w:w="60"/>
      </w:tblGrid>
      <w:tr>
        <w:trPr>
          <w:gridAfter w:val="1"/>
          <w:jc w:val="center"/>
          <w:trHeight w:val="574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14" w:type="dxa"/>
            <w:textDirection w:val="lrTb"/>
            <w:noWrap w:val="false"/>
          </w:tcPr>
          <w:p>
            <w:pPr>
              <w:jc w:val="center"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 відновлення дворової каналізаційної мережі та колодязів за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адресою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: вул. Волинська, буд. 26 у Солом’янському районі м. Києва</w:t>
            </w:r>
            <w:r/>
          </w:p>
        </w:tc>
      </w:tr>
      <w:tr>
        <w:trPr>
          <w:gridBefore w:val="1"/>
          <w:jc w:val="center"/>
          <w:trHeight w:val="574"/>
        </w:trPr>
        <w:tc>
          <w:tcPr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Ч.ч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Одиниця</w:t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виміру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Кількість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Примітка</w:t>
            </w:r>
            <w:r/>
          </w:p>
        </w:tc>
      </w:tr>
      <w:tr>
        <w:trPr>
          <w:gridBefore w:val="1"/>
          <w:jc w:val="center"/>
          <w:trHeight w:val="277"/>
        </w:trPr>
        <w:tc>
          <w:tcPr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7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49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</w:tr>
      <w:tr>
        <w:trPr>
          <w:gridBefore w:val="1"/>
          <w:jc w:val="center"/>
          <w:trHeight w:val="555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Нарізування швів у асфальтобетоні затверділому з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кроком через 0,5 м при перекладанні трубопроводу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 шва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574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Нарізування швів у асфальтобетоні затверділому з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кроком через 0,5 м при заміні оглядового колодязя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 шва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574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асфальтобетонних покриттів проїзної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частини механізованим способом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1,2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277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чорних щебеневих покриттів та основ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2,68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852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Улаштування колодязів круглих цегляних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каналізаційних діаметром 1,0 м з конусним переходом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 горловини в сухих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грунтах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0,66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574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Улаштування закритих бетонних лотків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розміром 300х220 мм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555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Розробка ґрунту в траншеях шириною до 2 м, глибиною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 2 м, з кріпленнями, група ґрунту 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6,8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574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Кріплення інвентарними щитами стінок траншей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шириною до 2 м в стійких ґрунтах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6,8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574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Прокладання трубопроводу в траншеях з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труб чавунних напірних розтрубних діаметром 100 мм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277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піщаної основи під трубопроводи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574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Укладання труб каналізаційних ПВХ діаметром 100 мм в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траншеї без розпорів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555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Приєднання каналізаційних трубопроводів до існуючої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мережі в сухих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грунтах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574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Під'єднання нових ділянок трубопроводу до існуючих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мереж каналізації в будівлі діаметром 100 мм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574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колодязів круглих каналізаційних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діаметром 1,0 м із збірного залізобетону в сухих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грунтах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0,6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277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монолітних днищ колодязів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0,28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574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Зворотня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засипка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екскаватором з доробкою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вручну, група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6,8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555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Ущільнення ґрунту пневматичними трамбівками, група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ґрунту 1-2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6,8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296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Навантаження сміття вручну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7,0477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277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Перевезення сміття до 25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7,0477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gridBefore w:val="1"/>
          <w:jc w:val="center"/>
          <w:trHeight w:val="574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Нарізування швів у асфальтобетоні затверділому з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кроком через 0,5 м при перекладанні трубопроводу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 шва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64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850" w:right="850" w:bottom="567" w:left="1134" w:header="709" w:footer="197" w:gutter="0"/>
          <w:cols w:num="1" w:sep="0" w:space="709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>
        <w:trPr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Нарізування швів у асфальтобетоні затверділому з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кроком через 0,5 м при заміні оглядового колодязя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 шва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асфальтобетонних покриттів проїзної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частини механізованим способом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1,4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чорних щебеневих покриттів та основ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Улаштування колодязів круглих цегляних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каналізаційних діаметром 1,0 м з конусним переходом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 горловини в сухих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грунтах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0,94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Улаштування закритих бетонних лотків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розміром 300х220 мм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Розробка ґрунту в траншеях шириною до 2 м, глибиною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 2 м, з кріпленнями, група ґрунту 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11,8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Кріплення інвентарними щитами стінок траншей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шириною до 2 м в стійких ґрунтах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11,8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Прокладання трубопроводу в траншеях з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труб чавунних напірних розтрубних діаметром 100 мм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піщаної основи під трубопроводи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1,08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Укладання труб каналізаційних ПВХ діаметром 100 мм в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траншеї без розпорів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Приєднання каналізаційних трубопроводів до існуючої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мережі в сухих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грунтах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Під'єднання нових ділянок трубопроводу до існуючих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мереж каналізації в будівлі діаметром 100 мм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колодязів круглих каналізаційних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діаметром 1,0 м із збірного залізобетону в сухих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грунтах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0,6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монолітних днищ колодязів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0,28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Зворотня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засипка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екскаватором з доробкою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вручну, група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11,8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Ущільнення ґрунту пневматичними трамбівками, група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ґрунту 1-2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11,8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Навантаження сміття вручну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6,364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Перевезення сміття до 25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6,364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Нарізування швів у асфальтобетоні затверділому з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кроком через 0,5 м при заміні оглядового колодязя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 шва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асфальтобетонних покриттів проїзної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частини механізованим способом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0,32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чорних щебеневих покриттів та основ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0,6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Улаштування колодязів круглих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каналізаційних діаметром 1,0 м із збірного залізобетону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 сухих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грунтах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0,22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колодязів круглих каналізаційних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діаметром 1,0 м із збірного залізобетону в сухих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грунтах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(плита перекриття)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0,22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Установлення люка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Ремонт бетонних лотків в колодязях [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перенабивання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лотків]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Навантаження сміття вручну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1,502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Перевезення сміття до 25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1,502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Штукатурення цементно-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церезитове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 каменю і бетону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 оглядових колодязях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16,4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Ремонт бетонних лотків в колодязях [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перенабивання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лотків]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Заміна чавунних люків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Ремонт бетонних лотків в колодязях [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перенабивання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лотків]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Штукатурення цементно-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церезитове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 каменю і бетону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горловини в оглядових колодязях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Нарізування швів у асфальтобетоні затверділому з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кроком через 0,5 м при заміні оглядового колодязя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 шва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асфальтобетонних покриттів проїзної</w:t>
            </w:r>
            <w:r/>
          </w:p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частини механізованим способом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0,72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чорних щебеневих покриттів та основ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1,35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850" w:right="850" w:bottom="567" w:left="1134" w:header="709" w:footer="197" w:gutter="0"/>
          <w:cols w:num="1" w:sep="0" w:space="709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>
        <w:trPr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Розробка ґрунту в траншеях шириною більше 2 м та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котлованах площею перерізу до 5 м2, глибиною до 3 м,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група ґрунту 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9,9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Улаштування колодязів круглих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каналізаційних діаметром 1,0 м із збірного залізобетону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 сухих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грунтах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колодязів круглих каналізаційних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діаметром 1,5 м із збірного залізобетону в сухих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грунтах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1,3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Ремонт бетонних лотків в колодязях [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перенабивання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лотків]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Навантаження сміття вручну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3,5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Перевезення сміття до 25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3,5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Навантаження ґрунту вручну на автомобілі-самоскиди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2,4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Перевезення ґрунту до 25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3,48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пiдстильних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вирiвнювальних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шарiв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основи з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пiску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1,6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одношарових основ товщиною 15 см із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щебеню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фракції 20-40 мм з межею міцності на стиск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понад 98,1 МПа [1000 кг/см2]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6,25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покриттів товщиною 4 см із гарячих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асфальтобетонних сумішей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6,25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 кожні 0,5 см зміни товщини шару додавати або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виключати до норми 18-43-1 (додавати 2см)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6,25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</w:tbl>
    <w:p>
      <w:pPr>
        <w:contextualSpacing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1"/>
        <w:ind w:firstLine="709"/>
        <w:jc w:val="both"/>
        <w:spacing w:after="0" w:line="240" w:lineRule="auto"/>
      </w:pPr>
      <w:r>
        <w:rPr>
          <w:color w:val="000000"/>
        </w:rPr>
        <w:t xml:space="preserve">Кошторисна документація має бути розрахована та виконана згідно КНУ «Настанова з визначення вартості будівництва» затвердженої Наказом </w:t>
      </w:r>
      <w:r>
        <w:rPr>
          <w:color w:val="000000"/>
        </w:rPr>
        <w:t xml:space="preserve">Мінрегіону</w:t>
      </w:r>
      <w:r>
        <w:rPr>
          <w:color w:val="000000"/>
        </w:rPr>
        <w:t xml:space="preserve"> від 01.11.2021 № 281, за допомогою програмного комплексу АВК-5 останньої версії, або аналогу (пропечатана та підписана організацією учасником) у складі:</w:t>
      </w:r>
      <w:r/>
    </w:p>
    <w:p>
      <w:pPr>
        <w:pStyle w:val="691"/>
        <w:jc w:val="both"/>
        <w:spacing w:after="0" w:line="240" w:lineRule="auto"/>
      </w:pPr>
      <w:r>
        <w:rPr>
          <w:color w:val="000000"/>
        </w:rPr>
        <w:t xml:space="preserve">- договірна ціна;</w:t>
      </w:r>
      <w:r/>
    </w:p>
    <w:p>
      <w:pPr>
        <w:pStyle w:val="691"/>
        <w:jc w:val="both"/>
        <w:spacing w:after="0" w:line="240" w:lineRule="auto"/>
      </w:pPr>
      <w:r>
        <w:rPr>
          <w:color w:val="000000"/>
        </w:rPr>
        <w:t xml:space="preserve">- зведений кошторисний розрахунок вартості ремонту з пояснювальною запискою;</w:t>
      </w:r>
      <w:r/>
    </w:p>
    <w:p>
      <w:pPr>
        <w:pStyle w:val="691"/>
        <w:jc w:val="both"/>
        <w:spacing w:after="0" w:line="240" w:lineRule="auto"/>
      </w:pPr>
      <w:r>
        <w:rPr>
          <w:color w:val="000000"/>
        </w:rPr>
        <w:t xml:space="preserve">- локальний кошторис;</w:t>
      </w:r>
      <w:r/>
    </w:p>
    <w:p>
      <w:pPr>
        <w:pStyle w:val="691"/>
        <w:jc w:val="both"/>
        <w:spacing w:after="0" w:line="240" w:lineRule="auto"/>
      </w:pPr>
      <w:r>
        <w:rPr>
          <w:color w:val="000000"/>
        </w:rPr>
        <w:t xml:space="preserve">- підсумкова відомість ресурсів;</w:t>
      </w:r>
      <w:r/>
    </w:p>
    <w:p>
      <w:pPr>
        <w:pStyle w:val="691"/>
        <w:jc w:val="both"/>
        <w:spacing w:after="0" w:line="240" w:lineRule="auto"/>
        <w:rPr>
          <w:color w:val="000000"/>
        </w:rPr>
      </w:pPr>
      <w:r>
        <w:rPr>
          <w:color w:val="000000"/>
        </w:rPr>
        <w:t xml:space="preserve">- розрахунок кошторисної заробітної плати, яка враховується при визначенні вартості будівництва.</w:t>
      </w:r>
      <w:r/>
    </w:p>
    <w:p>
      <w:pPr>
        <w:ind w:right="23" w:firstLine="567"/>
        <w:jc w:val="both"/>
        <w:spacing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надавати послуги, що є предметом закупівлі, в обсягах та у строки, які визначені Замовником – до 12.05.2023.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Учасники повинні надати у складі пропозицій документи, які підтверджують відповідність пропозиції учасника технічним, якісним, кількісним та іншим вимогам до предмета закупівлі, встановленим Замовником.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підтвердження відповідності пропозиції технічним, якісним, кількісним та іншим вимогам замовника, учасник у складі пропозиції повинен надати</w:t>
      </w:r>
      <w:r>
        <w:rPr>
          <w:rFonts w:ascii="Times New Roman" w:hAnsi="Times New Roman" w:cs="Times New Roman"/>
          <w:i/>
          <w:sz w:val="24"/>
          <w:szCs w:val="24"/>
        </w:rPr>
        <w:t xml:space="preserve">:</w:t>
      </w:r>
      <w:r/>
    </w:p>
    <w:p>
      <w:pPr>
        <w:ind w:right="-108" w:firstLine="567"/>
        <w:jc w:val="both"/>
        <w:spacing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1) перелік та обсяги послуг згідно з Технічним завданням, яке зазначено в Додатку 5 до Оголошення про проведення процедури закупівлі; </w:t>
      </w:r>
      <w:r/>
    </w:p>
    <w:p>
      <w:pPr>
        <w:contextualSpacing/>
        <w:ind w:left="34" w:right="113" w:firstLine="567"/>
        <w:jc w:val="both"/>
        <w:spacing w:after="6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у складі пропозиції надається інформація стосовно гарантійного строку на надані послуги.</w:t>
      </w:r>
      <w:r/>
    </w:p>
    <w:p>
      <w:pPr>
        <w:contextualSpacing/>
        <w:ind w:left="34" w:right="113" w:firstLine="567"/>
        <w:jc w:val="both"/>
        <w:spacing w:after="6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3) гарантійний лист</w:t>
      </w: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, в якому учасник гарантує замовнику надати послуги якісно у кількості та в терміни, встановлені замовником, а також необхідно зазначити, що матеріали та вироби, від яких залежить якість наданих послуг, будуть відповідати вимогам нормативно-правових актів.</w:t>
      </w:r>
      <w:r/>
    </w:p>
    <w:p>
      <w:pPr>
        <w:contextualSpacing/>
        <w:ind w:left="34" w:right="113" w:firstLine="567"/>
        <w:jc w:val="both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копії сертифікатів якості на матеріальні ресурси.</w:t>
      </w:r>
      <w:r/>
    </w:p>
    <w:p>
      <w:pPr>
        <w:ind w:right="-1" w:firstLine="567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законодавством.</w:t>
      </w:r>
      <w:r/>
    </w:p>
    <w:p>
      <w:pPr>
        <w:ind w:right="-1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279 111,22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сімдесят дев’ять тисяч сто одинадцять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10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565" w:leader="none"/>
        <w:tab w:val="right" w:pos="7645" w:leader="none"/>
      </w:tabs>
      <w:rPr>
        <w:sz w:val="16"/>
        <w:szCs w:val="16"/>
      </w:rPr>
    </w:pPr>
    <w:r>
      <w:rPr>
        <w:sz w:val="16"/>
        <w:szCs w:val="16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-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3"/>
    <w:next w:val="68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4"/>
    <w:link w:val="42"/>
    <w:uiPriority w:val="99"/>
  </w:style>
  <w:style w:type="character" w:styleId="45">
    <w:name w:val="Footer Char"/>
    <w:basedOn w:val="684"/>
    <w:link w:val="693"/>
    <w:uiPriority w:val="99"/>
  </w:style>
  <w:style w:type="paragraph" w:styleId="46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lang w:val="uk-UA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List Paragraph"/>
    <w:basedOn w:val="683"/>
    <w:link w:val="688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8" w:customStyle="1">
    <w:name w:val="Абзац списку Знак"/>
    <w:link w:val="687"/>
    <w:uiPriority w:val="99"/>
    <w:rPr>
      <w:rFonts w:ascii="Calibri" w:hAnsi="Calibri" w:eastAsia="Calibri" w:cs="Calibri"/>
      <w:lang w:eastAsia="zh-CN"/>
    </w:rPr>
  </w:style>
  <w:style w:type="table" w:styleId="689">
    <w:name w:val="Table Grid"/>
    <w:basedOn w:val="6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Сетка таблицы2"/>
    <w:basedOn w:val="685"/>
    <w:next w:val="68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1">
    <w:name w:val="Normal (Web)"/>
    <w:basedOn w:val="683"/>
    <w:link w:val="698"/>
    <w:unhideWhenUsed/>
    <w:qFormat/>
    <w:rPr>
      <w:rFonts w:ascii="Times New Roman" w:hAnsi="Times New Roman" w:cs="Times New Roman"/>
      <w:sz w:val="24"/>
      <w:szCs w:val="24"/>
    </w:rPr>
  </w:style>
  <w:style w:type="table" w:styleId="692" w:customStyle="1">
    <w:name w:val="Сетка таблицы1"/>
    <w:basedOn w:val="685"/>
    <w:next w:val="68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Footer"/>
    <w:basedOn w:val="683"/>
    <w:link w:val="69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4" w:customStyle="1">
    <w:name w:val="Нижній колонтитул Знак"/>
    <w:basedOn w:val="684"/>
    <w:link w:val="693"/>
    <w:uiPriority w:val="99"/>
    <w:rPr>
      <w:rFonts w:ascii="Calibri" w:hAnsi="Calibri" w:eastAsia="Calibri" w:cs="Calibri"/>
      <w:lang w:eastAsia="zh-CN"/>
    </w:rPr>
  </w:style>
  <w:style w:type="paragraph" w:styleId="69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6">
    <w:name w:val="Hyperlink"/>
    <w:basedOn w:val="684"/>
    <w:uiPriority w:val="99"/>
    <w:unhideWhenUsed/>
    <w:rPr>
      <w:color w:val="0563c1" w:themeColor="hyperlink"/>
      <w:u w:val="single"/>
    </w:rPr>
  </w:style>
  <w:style w:type="character" w:styleId="697" w:customStyle="1">
    <w:name w:val="xfm_93972720"/>
    <w:basedOn w:val="684"/>
  </w:style>
  <w:style w:type="character" w:styleId="698" w:customStyle="1">
    <w:name w:val="Звичайний (веб) Знак"/>
    <w:link w:val="691"/>
    <w:qFormat/>
    <w:rPr>
      <w:rFonts w:ascii="Times New Roman" w:hAnsi="Times New Roman" w:cs="Times New Roman"/>
      <w:sz w:val="24"/>
      <w:szCs w:val="24"/>
      <w:lang w:val="uk-UA"/>
    </w:rPr>
  </w:style>
  <w:style w:type="paragraph" w:styleId="699">
    <w:name w:val="Body Text 2"/>
    <w:basedOn w:val="683"/>
    <w:link w:val="70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0" w:customStyle="1">
    <w:name w:val="Основний текст 2 Знак"/>
    <w:basedOn w:val="684"/>
    <w:link w:val="6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60</cp:revision>
  <dcterms:created xsi:type="dcterms:W3CDTF">2022-11-01T12:47:00Z</dcterms:created>
  <dcterms:modified xsi:type="dcterms:W3CDTF">2023-04-18T15:30:16Z</dcterms:modified>
</cp:coreProperties>
</file>