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90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Реконструкція ПЛ-10кВт на дільниці між </w:t>
      </w:r>
      <w:r>
        <w:rPr>
          <w:b w:val="0"/>
          <w:sz w:val="24"/>
          <w:szCs w:val="24"/>
        </w:rPr>
        <w:t xml:space="preserve">оп</w:t>
      </w:r>
      <w:r>
        <w:rPr>
          <w:b w:val="0"/>
          <w:sz w:val="24"/>
          <w:szCs w:val="24"/>
        </w:rPr>
        <w:t xml:space="preserve">. №188 та №189 Л-3 «Інтернат» по вул. Козацької Слави, 4а, м. Хотин, Дністровського р-ну, Чернівецької обл. за кодом CPV за ЄЗС ДК 021:2015: 45230000-8 – Будівництво трубопроводів, ліній зв’язку та </w:t>
      </w:r>
      <w:r>
        <w:rPr>
          <w:b w:val="0"/>
          <w:sz w:val="24"/>
          <w:szCs w:val="24"/>
        </w:rPr>
        <w:t xml:space="preserve">електропередач</w:t>
      </w:r>
      <w:r>
        <w:rPr>
          <w:b w:val="0"/>
          <w:sz w:val="24"/>
          <w:szCs w:val="24"/>
        </w:rPr>
        <w:t xml:space="preserve">, шосе, доріг, аеродромів і залізничних доріг; вирівнювання поверхонь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002779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/>
    </w:p>
    <w:p>
      <w:pPr>
        <w:pStyle w:val="690"/>
        <w:jc w:val="center"/>
        <w:spacing w:before="0" w:beforeAutospacing="0" w:after="0" w:afterAutospacing="0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Cs w:val="0"/>
          <w:sz w:val="24"/>
          <w:szCs w:val="24"/>
        </w:rPr>
        <w:t xml:space="preserve">Реконструкція ПЛ-10кВт на дільниці між </w:t>
      </w:r>
      <w:r>
        <w:rPr>
          <w:bCs w:val="0"/>
          <w:sz w:val="24"/>
          <w:szCs w:val="24"/>
        </w:rPr>
        <w:t xml:space="preserve">оп</w:t>
      </w:r>
      <w:r>
        <w:rPr>
          <w:bCs w:val="0"/>
          <w:sz w:val="24"/>
          <w:szCs w:val="24"/>
        </w:rPr>
        <w:t xml:space="preserve">. №188 та №189 Л-3 «Інтернат» по вул. Козацької Слави, 4а, м. Хотин, Дністровського р-ну, Чернівецької обл. за кодом CPV за ЄЗС ДК 021:2015: 45230000-8 – Будівництво трубопроводів, ліній зв’язку та </w:t>
      </w:r>
      <w:r>
        <w:rPr>
          <w:bCs w:val="0"/>
          <w:sz w:val="24"/>
          <w:szCs w:val="24"/>
        </w:rPr>
        <w:t xml:space="preserve">електропередач</w:t>
      </w:r>
      <w:r>
        <w:rPr>
          <w:bCs w:val="0"/>
          <w:sz w:val="24"/>
          <w:szCs w:val="24"/>
        </w:rPr>
        <w:t xml:space="preserve">, шосе, доріг, аеродромів і залізничних доріг; вирівнювання поверхонь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/>
    </w:p>
    <w:tbl>
      <w:tblPr>
        <w:tblW w:w="1038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"/>
        <w:gridCol w:w="534"/>
        <w:gridCol w:w="4658"/>
        <w:gridCol w:w="766"/>
        <w:gridCol w:w="1428"/>
        <w:gridCol w:w="1428"/>
        <w:gridCol w:w="1288"/>
        <w:gridCol w:w="140"/>
      </w:tblGrid>
      <w:tr>
        <w:trPr>
          <w:gridAfter w:val="1"/>
          <w:jc w:val="center"/>
        </w:trPr>
        <w:tc>
          <w:tcPr>
            <w:gridSpan w:val="7"/>
            <w:tcW w:w="1024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ДЕФЕКТНИЙ АКТ</w:t>
            </w:r>
            <w:r/>
          </w:p>
        </w:tc>
      </w:tr>
      <w:tr>
        <w:trPr>
          <w:gridAfter w:val="1"/>
          <w:jc w:val="center"/>
        </w:trPr>
        <w:tc>
          <w:tcPr>
            <w:gridSpan w:val="3"/>
            <w:tcW w:w="53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4"/>
            <w:tcW w:w="4910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7"/>
            <w:tcW w:w="1024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Реконструкція ПЛ-10кВт на дільниці між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№188 та №189 Л-3 «Інтернат» по вул. Козацької Слави, 4а, м. Хотин, Дністровського р-ну, Чернівецької обл.</w:t>
            </w:r>
            <w:r/>
          </w:p>
        </w:tc>
      </w:tr>
      <w:tr>
        <w:trPr>
          <w:gridAfter w:val="1"/>
          <w:jc w:val="center"/>
        </w:trPr>
        <w:tc>
          <w:tcPr>
            <w:gridSpan w:val="3"/>
            <w:tcW w:w="53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4"/>
            <w:tcW w:w="4910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single" w:color="auto" w:sz="12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34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№</w:t>
            </w:r>
            <w:r/>
          </w:p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Ч.ч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</w:t>
            </w:r>
            <w:r/>
          </w:p>
        </w:tc>
        <w:tc>
          <w:tcPr>
            <w:gridSpan w:val="2"/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2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</w:r>
            <w:r/>
          </w:p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Найменування робіт і витрат</w:t>
            </w:r>
            <w:r/>
          </w:p>
        </w:tc>
        <w:tc>
          <w:tcPr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Одиниця</w:t>
            </w:r>
            <w:r/>
          </w:p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виміру</w:t>
            </w:r>
            <w:r/>
          </w:p>
        </w:tc>
        <w:tc>
          <w:tcPr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Кількість</w:t>
            </w:r>
            <w:r/>
          </w:p>
        </w:tc>
        <w:tc>
          <w:tcPr>
            <w:gridSpan w:val="2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Примітка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W w:w="534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42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5425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(Демонтаж) Підвішування проводів [3 проводи при 10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опорах на 1 км лінії] в населеній місцевості за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допомогою механізмів, перерізом проводів понад 35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мм2 для ВЛ 6-10 кВ /при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виконаннi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робiт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охороннiй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зонi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дiючих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ВЛ/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0,06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2"/>
            <w:tcW w:w="5425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(Демонтаж) Траверса на опорі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[при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роботi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висотi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понад 2 до 8 м]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W w:w="5425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Траверса на опорі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[при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роботi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висотi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понад 2 до 8 м]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W w:w="5425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Підвішування проводів [3 проводи при 10 опорах на 1 км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лінії] в населеній місцевості за допомогою механізмів,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перерізом проводів понад 35 мм2 для ВЛ 6-10 кВ /при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виконаннi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робiт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охороннiй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зонi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дiючих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ВЛ/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0,06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2"/>
            <w:tcW w:w="5425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Закріплювання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штирьових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ізоляторів на установленій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опорі при реконструкції або ремонті ВЛ 6 - 10 кВ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</w:t>
            </w:r>
            <w:r/>
          </w:p>
        </w:tc>
        <w:tc>
          <w:tcPr>
            <w:gridSpan w:val="2"/>
            <w:tcW w:w="5425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(Демонтаж) Закріплювання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штирьових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ізоляторів на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установленій опорі при реконструкції або ремонті ВЛ 6 -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10 кВ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Before w:val="1"/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34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7</w:t>
            </w:r>
            <w:r/>
          </w:p>
        </w:tc>
        <w:tc>
          <w:tcPr>
            <w:gridSpan w:val="2"/>
            <w:tcW w:w="5425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Заземлюючий спуск із круглої сталі по опорі ВЛ 6-10 кВ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/при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виконаннi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робiт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охороннiй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зонi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дiючих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ВЛ/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опора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</w:tbl>
    <w:p>
      <w:pPr>
        <w:jc w:val="both"/>
        <w:spacing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Підсумкова відомість ресурсів до локального кошторису</w:t>
      </w:r>
      <w:r/>
    </w:p>
    <w:tbl>
      <w:tblPr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"/>
        <w:gridCol w:w="961"/>
        <w:gridCol w:w="62"/>
        <w:gridCol w:w="2864"/>
        <w:gridCol w:w="62"/>
        <w:gridCol w:w="3295"/>
        <w:gridCol w:w="62"/>
        <w:gridCol w:w="1069"/>
        <w:gridCol w:w="116"/>
        <w:gridCol w:w="1017"/>
        <w:gridCol w:w="62"/>
      </w:tblGrid>
      <w:tr>
        <w:trPr>
          <w:gridAfter w:val="1"/>
          <w:jc w:val="center"/>
          <w:trHeight w:val="458"/>
        </w:trPr>
        <w:tc>
          <w:tcPr>
            <w:gridSpan w:val="2"/>
            <w:tcBorders>
              <w:top w:val="single" w:color="auto" w:sz="12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№</w:t>
            </w:r>
            <w:r/>
          </w:p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Ч.ч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.</w:t>
            </w:r>
            <w:r/>
          </w:p>
        </w:tc>
        <w:tc>
          <w:tcPr>
            <w:gridSpan w:val="2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Шифр ресурсу</w:t>
            </w:r>
            <w:r/>
          </w:p>
        </w:tc>
        <w:tc>
          <w:tcPr>
            <w:gridSpan w:val="2"/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6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Найменування </w:t>
            </w:r>
            <w:r/>
          </w:p>
        </w:tc>
        <w:tc>
          <w:tcPr>
            <w:gridSpan w:val="2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Одиниця </w:t>
            </w:r>
            <w:r/>
          </w:p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виміру</w:t>
            </w:r>
            <w:r/>
          </w:p>
        </w:tc>
        <w:tc>
          <w:tcPr>
            <w:gridSpan w:val="2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gridAfter w:val="1"/>
          <w:jc w:val="center"/>
          <w:trHeight w:val="458"/>
        </w:trPr>
        <w:tc>
          <w:tcPr>
            <w:gridSpan w:val="2"/>
            <w:tcBorders>
              <w:top w:val="single" w:color="auto" w:sz="12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/>
          </w:p>
        </w:tc>
        <w:tc>
          <w:tcPr>
            <w:gridSpan w:val="2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/>
          </w:p>
        </w:tc>
        <w:tc>
          <w:tcPr>
            <w:gridSpan w:val="2"/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/>
          </w:p>
        </w:tc>
        <w:tc>
          <w:tcPr>
            <w:gridSpan w:val="2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/>
          </w:p>
        </w:tc>
        <w:tc>
          <w:tcPr>
            <w:gridSpan w:val="2"/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29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3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10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0" w:type="auto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gridBefore w:val="1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W w:w="102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7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u w:val="single"/>
              </w:rPr>
              <w:t xml:space="preserve">I. Витрати труда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27</w:t>
            </w:r>
            <w:r/>
          </w:p>
        </w:tc>
        <w:tc>
          <w:tcPr>
            <w:gridSpan w:val="2"/>
            <w:tcW w:w="336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Витрати труда робітників-монтажників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люд.год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vAlign w:val="center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14,35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Середній розряд робіт, що виконуються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робітниками-монтажниками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розряд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vAlign w:val="center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3,8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Витрати труда робітників, зайнятих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керуванням та обслуговуванням машин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люд.год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8,07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Середній розряд ланки робітників, зайнятих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керуванням та обслуговуванням машин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розряд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4,8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Витрати  робітників, заробітна плата яких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враховується в складі: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5.1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загальновиробничих витрат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люд.год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2,18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single" w:color="auto" w:sz="4" w:space="0"/>
              <w:right w:val="none" w:color="000000" w:sz="4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2932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336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3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293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293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Разом  кошторисна трудомісткість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люд.год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24,6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single" w:color="auto" w:sz="4" w:space="0"/>
              <w:right w:val="none" w:color="000000" w:sz="4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293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3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293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vAlign w:val="center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6293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Середній розряд робіт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розряд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vAlign w:val="center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3,8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single" w:color="auto" w:sz="4" w:space="0"/>
              <w:right w:val="none" w:color="000000" w:sz="4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4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6293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23" w:type="dxa"/>
            <w:vAlign w:val="center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  <w:u w:val="single"/>
              </w:rPr>
              <w:t xml:space="preserve">II. Будівельні машини і механізми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КБМ201-12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Автомобілі бортові, вантажопідйомність 5 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маш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год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0,503424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7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КБМ203-1002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Автогідропідіймачі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, висота підйому 18 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маш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год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2,75312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8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КБМ203-1004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Автогідропідіймачі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, висота підйому 28 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маш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год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1,4352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9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КБМ204-201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Агрегати зварювальні пересувні з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бензиновим двигуном, з номінальним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зварювальним струмом 250-400 А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маш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год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0,322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10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КБМ216-601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Трактори на гусеничному ходу з лебідкою,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потужність 132 кВт [180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к.с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.]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маш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год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0,75831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Разом по розділу II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грн.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  в тому числі енергоносії: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Бензин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кг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31,477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Дизельне паливо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кг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7,962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Мастильні матеріали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кг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1,965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Гідравлічна рідина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кг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0,377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III. Будівельні матеріали, вироби і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комплекти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С111-414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Фарба олійна спеціальна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густотерта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для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зовнішніх робіт МА-015 захисна 736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0,001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С111-1513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Електроди, діаметр 4 мм, марка Э42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0,0012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13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+С111-1859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варіант 1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Ланка проміжна вивернута ПРВ-7-1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14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+С124-3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варіант 1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Сталь кругла оцинкована, діаметр 10 мм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(30м*0,617=18,51кг)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0,0185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15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+С157-373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варіант 1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Самонесучий ізольований провід, марка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AsXSn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, переріз 1х50 мм2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1000м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0,204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+С1110-36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варіант 1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Ізолятори натяжні полімерні PSI 15CC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12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17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+С1411-126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варіант 1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Траверса ТМз-12 (180.2н/5-15)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18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+С1411-128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варіант 1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Траверса ТМз-13 (180.2н/5-18)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19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+С1545-74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варіант 1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Ковпачки ізолювальні К-6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100шт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0,06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20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+С1545-321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варіант 1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Ізолятор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штирьовий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ШФ-20Г1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21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+С1545-408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варіант 1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Затискач натяжний клиновий РА 2870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22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+С1545-409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варіант 1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Затискач натяжний клиновий з пристроєм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вирівнювання потенціалу РА 2870 Р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23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+С1545-413-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18 варіант 1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Затискач натяжний AD 15 AL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24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+С1545-415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варіант 1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Затискач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відгалужувальний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односторонньо-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проколюючий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NTDS 28401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25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+С1545-488-1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варіант 1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Бандажна стрічка ІF 207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8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26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+С1545-489-1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варіант 1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Скріпа для бандажної стрічки СF 20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8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27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+С1545-521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варіант 1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Спіральна в'язка PLTD-2 R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/>
          </w:p>
        </w:tc>
      </w:tr>
      <w:tr>
        <w:trPr>
          <w:gridAfter w:val="1"/>
          <w:jc w:val="center"/>
        </w:trPr>
        <w:tc>
          <w:tcPr>
            <w:gridSpan w:val="2"/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none" w:color="000000" w:sz="4" w:space="0"/>
            </w:tcBorders>
            <w:tcW w:w="1009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28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32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+С1545-539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варіант 1</w:t>
            </w:r>
            <w:r/>
          </w:p>
        </w:tc>
        <w:tc>
          <w:tcPr>
            <w:gridSpan w:val="2"/>
            <w:tcW w:w="3361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Затискач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плашковий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відгалужувальний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для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неізольованих дротів PGA 101 G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2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23" w:type="dxa"/>
            <w:textDirection w:val="lrTb"/>
            <w:noWrap w:val="false"/>
          </w:tcPr>
          <w:p>
            <w:pPr>
              <w:jc w:val="right"/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14</w:t>
            </w:r>
            <w:r/>
          </w:p>
        </w:tc>
      </w:tr>
    </w:tbl>
    <w:p>
      <w:pPr>
        <w:spacing w:line="240" w:lineRule="auto"/>
        <w:tabs>
          <w:tab w:val="left" w:pos="3944" w:leader="none"/>
        </w:tabs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</w:r>
      <w:r/>
    </w:p>
    <w:p>
      <w:pPr>
        <w:pStyle w:val="698"/>
        <w:ind w:firstLine="709"/>
        <w:jc w:val="both"/>
        <w:spacing w:after="0" w:line="240" w:lineRule="auto"/>
      </w:pPr>
      <w:r>
        <w:rPr>
          <w:color w:val="000000"/>
        </w:rPr>
        <w:t xml:space="preserve">Кошторисна документація має бути розрахована та виконана згідно КНУ «Настанова з визначення вартості будівництва» затвердженої Наказом </w:t>
      </w:r>
      <w:r>
        <w:rPr>
          <w:color w:val="000000"/>
        </w:rPr>
        <w:t xml:space="preserve">Мінрегіону</w:t>
      </w:r>
      <w:r>
        <w:rPr>
          <w:color w:val="000000"/>
        </w:rPr>
        <w:t xml:space="preserve"> від 01.11.2021 № 281, за допомогою програмного комплексу АВК-5 останньої версії, або аналогу (пропечатана та підписана організацією учасником) у складі:</w:t>
      </w:r>
      <w:r/>
    </w:p>
    <w:p>
      <w:pPr>
        <w:pStyle w:val="698"/>
        <w:jc w:val="both"/>
        <w:spacing w:after="0" w:line="240" w:lineRule="auto"/>
      </w:pPr>
      <w:r>
        <w:rPr>
          <w:color w:val="000000"/>
        </w:rPr>
        <w:t xml:space="preserve">- договірна ціна;</w:t>
      </w:r>
      <w:r/>
    </w:p>
    <w:p>
      <w:pPr>
        <w:pStyle w:val="698"/>
        <w:jc w:val="both"/>
        <w:spacing w:after="0" w:line="240" w:lineRule="auto"/>
      </w:pPr>
      <w:r>
        <w:rPr>
          <w:color w:val="000000"/>
        </w:rPr>
        <w:t xml:space="preserve">- зведений кошторисний розрахунок вартості ремонту з пояснювальною запискою;</w:t>
      </w:r>
      <w:r/>
    </w:p>
    <w:p>
      <w:pPr>
        <w:pStyle w:val="698"/>
        <w:jc w:val="both"/>
        <w:spacing w:after="0" w:line="240" w:lineRule="auto"/>
      </w:pPr>
      <w:r>
        <w:rPr>
          <w:color w:val="000000"/>
        </w:rPr>
        <w:t xml:space="preserve">- локальний кошторис;</w:t>
      </w:r>
      <w:r/>
    </w:p>
    <w:p>
      <w:pPr>
        <w:pStyle w:val="698"/>
        <w:jc w:val="both"/>
        <w:spacing w:after="0" w:line="240" w:lineRule="auto"/>
      </w:pPr>
      <w:r>
        <w:rPr>
          <w:color w:val="000000"/>
        </w:rPr>
        <w:t xml:space="preserve">- підсумкова відомість ресурсів;</w:t>
      </w:r>
      <w:r/>
    </w:p>
    <w:p>
      <w:pPr>
        <w:pStyle w:val="698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- розрахунок кошторисної заробітної плати, яка враховується при визначенні вартості будівництва,</w:t>
      </w:r>
      <w:r/>
    </w:p>
    <w:p>
      <w:pPr>
        <w:pStyle w:val="698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- розроблення </w:t>
      </w:r>
      <w:r>
        <w:rPr>
          <w:color w:val="000000"/>
        </w:rPr>
        <w:t xml:space="preserve">проєктно</w:t>
      </w:r>
      <w:r>
        <w:rPr>
          <w:color w:val="000000"/>
        </w:rPr>
        <w:t xml:space="preserve">-кошторисної документації</w:t>
      </w:r>
      <w:r/>
    </w:p>
    <w:p>
      <w:pPr>
        <w:ind w:right="23" w:firstLine="567"/>
        <w:jc w:val="both"/>
        <w:spacing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у складі пропозиції надати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imd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файл з розрахунками для зручності Замовника при його перевірці.</w:t>
      </w:r>
      <w:r/>
    </w:p>
    <w:p>
      <w:pPr>
        <w:ind w:right="23" w:firstLine="567"/>
        <w:jc w:val="both"/>
        <w:spacing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виконати роботи, що є предметом закупівлі, в обсягах та у строки, які визначені Замовником.</w:t>
      </w:r>
      <w:r/>
    </w:p>
    <w:p>
      <w:pPr>
        <w:ind w:right="23" w:firstLine="567"/>
        <w:jc w:val="both"/>
        <w:spacing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виконати роботи згідно із проектом. Учасник за бажанням може ознайомитися із проектом за попередньою домовленістю із Замовником.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Учасники повинні надати у складі пропозицій документи, які підтверджують відповідність пропозиції учасника технічним, якісним, кількісним та іншим вимогам до предмета закупівлі, встановленим Замовником (надати гарантійний лист).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підтвердження відповідності пропозиції технічним, якісним, кількісним та іншим вимогам замовника, учасник у складі пропозиції повинен надати</w:t>
      </w:r>
      <w:r>
        <w:rPr>
          <w:rFonts w:ascii="Times New Roman" w:hAnsi="Times New Roman" w:cs="Times New Roman"/>
          <w:i/>
          <w:sz w:val="24"/>
          <w:szCs w:val="24"/>
        </w:rPr>
        <w:t xml:space="preserve">:</w:t>
      </w:r>
      <w:r/>
    </w:p>
    <w:p>
      <w:pPr>
        <w:ind w:right="-108" w:firstLine="567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1) перелік та обсяги робіт згідно з Технічним завданням, яке зазначено в Додатку 5 до тендерної документації про проведення процедури закупівлі; </w:t>
      </w:r>
      <w:r/>
    </w:p>
    <w:p>
      <w:pPr>
        <w:contextualSpacing/>
        <w:ind w:left="34" w:right="113"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у складі пропозиції надається інформація стосовно гарантійного строку на виконані роботи.</w:t>
      </w:r>
      <w:r/>
    </w:p>
    <w:p>
      <w:pPr>
        <w:contextualSpacing/>
        <w:ind w:left="34" w:right="113"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SimSun" w:cs="Times New Roman"/>
          <w:sz w:val="24"/>
          <w:szCs w:val="24"/>
          <w:lang w:eastAsia="uk-UA"/>
        </w:rPr>
        <w:t xml:space="preserve">3) гарантійний лист</w:t>
      </w:r>
      <w:r>
        <w:rPr>
          <w:rFonts w:ascii="Times New Roman" w:hAnsi="Times New Roman" w:eastAsia="SimSun" w:cs="Times New Roman"/>
          <w:sz w:val="24"/>
          <w:szCs w:val="24"/>
          <w:lang w:eastAsia="uk-UA"/>
        </w:rPr>
        <w:t xml:space="preserve">, в якому учасник гарантує замовнику надати роботи якісно у кількості та в терміни, встановлені замовником, а також необхідно зазначити, що матеріали та вироби, від яких залежить якість виконаних робіт, будуть відповідати вимогам нормативно-правових актів.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69 927,40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шістдесят дев’ять тисяч дев’ятсот двадцять сім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кошторисних розрахунків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imSun">
    <w:panose1 w:val="02020603020101020101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0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14"/>
  </w:num>
  <w:num w:numId="5">
    <w:abstractNumId w:val="5"/>
  </w:num>
  <w:num w:numId="6">
    <w:abstractNumId w:val="17"/>
  </w:num>
  <w:num w:numId="7">
    <w:abstractNumId w:val="9"/>
  </w:num>
  <w:num w:numId="8">
    <w:abstractNumId w:val="19"/>
  </w:num>
  <w:num w:numId="9">
    <w:abstractNumId w:val="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8"/>
  </w:num>
  <w:num w:numId="17">
    <w:abstractNumId w:val="1"/>
  </w:num>
  <w:num w:numId="18">
    <w:abstractNumId w:val="21"/>
  </w:num>
  <w:num w:numId="19">
    <w:abstractNumId w:val="1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9"/>
    <w:next w:val="689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91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91"/>
    <w:link w:val="690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9"/>
    <w:next w:val="689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9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9"/>
    <w:next w:val="689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9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9"/>
    <w:next w:val="689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9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9"/>
    <w:next w:val="68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9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9"/>
    <w:next w:val="68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9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9"/>
    <w:next w:val="68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9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9"/>
    <w:next w:val="68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9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9"/>
    <w:next w:val="68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91"/>
    <w:link w:val="33"/>
    <w:uiPriority w:val="10"/>
    <w:rPr>
      <w:sz w:val="48"/>
      <w:szCs w:val="48"/>
    </w:rPr>
  </w:style>
  <w:style w:type="paragraph" w:styleId="35">
    <w:name w:val="Subtitle"/>
    <w:basedOn w:val="689"/>
    <w:next w:val="68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91"/>
    <w:link w:val="35"/>
    <w:uiPriority w:val="11"/>
    <w:rPr>
      <w:sz w:val="24"/>
      <w:szCs w:val="24"/>
    </w:rPr>
  </w:style>
  <w:style w:type="paragraph" w:styleId="37">
    <w:name w:val="Quote"/>
    <w:basedOn w:val="689"/>
    <w:next w:val="68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9"/>
    <w:next w:val="68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9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91"/>
    <w:link w:val="41"/>
    <w:uiPriority w:val="99"/>
  </w:style>
  <w:style w:type="character" w:styleId="44">
    <w:name w:val="Footer Char"/>
    <w:basedOn w:val="691"/>
    <w:link w:val="700"/>
    <w:uiPriority w:val="99"/>
  </w:style>
  <w:style w:type="paragraph" w:styleId="45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00"/>
    <w:uiPriority w:val="99"/>
  </w:style>
  <w:style w:type="table" w:styleId="48">
    <w:name w:val="Table Grid Light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91"/>
    <w:uiPriority w:val="99"/>
    <w:unhideWhenUsed/>
    <w:rPr>
      <w:vertAlign w:val="superscript"/>
    </w:rPr>
  </w:style>
  <w:style w:type="paragraph" w:styleId="177">
    <w:name w:val="endnote text"/>
    <w:basedOn w:val="68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91"/>
    <w:uiPriority w:val="99"/>
    <w:semiHidden/>
    <w:unhideWhenUsed/>
    <w:rPr>
      <w:vertAlign w:val="superscript"/>
    </w:rPr>
  </w:style>
  <w:style w:type="paragraph" w:styleId="180">
    <w:name w:val="toc 1"/>
    <w:basedOn w:val="689"/>
    <w:next w:val="68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9"/>
    <w:next w:val="68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9"/>
    <w:next w:val="68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9"/>
    <w:next w:val="68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9"/>
    <w:next w:val="68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9"/>
    <w:next w:val="68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9"/>
    <w:next w:val="68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9"/>
    <w:next w:val="68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9"/>
    <w:next w:val="68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9"/>
    <w:next w:val="689"/>
    <w:uiPriority w:val="99"/>
    <w:unhideWhenUsed/>
    <w:pPr>
      <w:spacing w:after="0" w:afterAutospacing="0"/>
    </w:pPr>
  </w:style>
  <w:style w:type="paragraph" w:styleId="689" w:default="1">
    <w:name w:val="Normal"/>
    <w:qFormat/>
    <w:rPr>
      <w:lang w:val="uk-UA"/>
    </w:rPr>
  </w:style>
  <w:style w:type="paragraph" w:styleId="690">
    <w:name w:val="Heading 2"/>
    <w:basedOn w:val="689"/>
    <w:link w:val="709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paragraph" w:styleId="694">
    <w:name w:val="List Paragraph"/>
    <w:basedOn w:val="689"/>
    <w:link w:val="69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95" w:customStyle="1">
    <w:name w:val="Абзац списку Знак"/>
    <w:link w:val="694"/>
    <w:uiPriority w:val="34"/>
    <w:rPr>
      <w:rFonts w:ascii="Calibri" w:hAnsi="Calibri" w:eastAsia="Calibri" w:cs="Calibri"/>
      <w:lang w:eastAsia="zh-CN"/>
    </w:rPr>
  </w:style>
  <w:style w:type="table" w:styleId="696">
    <w:name w:val="Table Grid"/>
    <w:basedOn w:val="69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7" w:customStyle="1">
    <w:name w:val="Сетка таблицы2"/>
    <w:basedOn w:val="692"/>
    <w:next w:val="696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8">
    <w:name w:val="Normal (Web)"/>
    <w:basedOn w:val="689"/>
    <w:link w:val="705"/>
    <w:unhideWhenUsed/>
    <w:qFormat/>
    <w:rPr>
      <w:rFonts w:ascii="Times New Roman" w:hAnsi="Times New Roman" w:cs="Times New Roman"/>
      <w:sz w:val="24"/>
      <w:szCs w:val="24"/>
    </w:rPr>
  </w:style>
  <w:style w:type="table" w:styleId="699" w:customStyle="1">
    <w:name w:val="Сетка таблицы1"/>
    <w:basedOn w:val="692"/>
    <w:next w:val="696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0">
    <w:name w:val="Footer"/>
    <w:basedOn w:val="689"/>
    <w:link w:val="701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01" w:customStyle="1">
    <w:name w:val="Нижній колонтитул Знак"/>
    <w:basedOn w:val="691"/>
    <w:link w:val="700"/>
    <w:uiPriority w:val="99"/>
    <w:rPr>
      <w:rFonts w:ascii="Calibri" w:hAnsi="Calibri" w:eastAsia="Calibri" w:cs="Calibri"/>
      <w:lang w:eastAsia="zh-CN"/>
    </w:rPr>
  </w:style>
  <w:style w:type="paragraph" w:styleId="702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03">
    <w:name w:val="Hyperlink"/>
    <w:basedOn w:val="691"/>
    <w:uiPriority w:val="99"/>
    <w:unhideWhenUsed/>
    <w:rPr>
      <w:color w:val="0563c1" w:themeColor="hyperlink"/>
      <w:u w:val="single"/>
    </w:rPr>
  </w:style>
  <w:style w:type="character" w:styleId="704" w:customStyle="1">
    <w:name w:val="xfm_93972720"/>
    <w:basedOn w:val="691"/>
  </w:style>
  <w:style w:type="character" w:styleId="705" w:customStyle="1">
    <w:name w:val="Звичайний (веб) Знак"/>
    <w:link w:val="698"/>
    <w:uiPriority w:val="99"/>
    <w:qFormat/>
    <w:rPr>
      <w:rFonts w:ascii="Times New Roman" w:hAnsi="Times New Roman" w:cs="Times New Roman"/>
      <w:sz w:val="24"/>
      <w:szCs w:val="24"/>
      <w:lang w:val="uk-UA"/>
    </w:rPr>
  </w:style>
  <w:style w:type="paragraph" w:styleId="706">
    <w:name w:val="Body Text 2"/>
    <w:basedOn w:val="689"/>
    <w:link w:val="707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7" w:customStyle="1">
    <w:name w:val="Основний текст 2 Знак"/>
    <w:basedOn w:val="691"/>
    <w:link w:val="70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8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9" w:customStyle="1">
    <w:name w:val="Заголовок 2 Знак"/>
    <w:basedOn w:val="691"/>
    <w:link w:val="690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10">
    <w:name w:val="No Spacing"/>
    <w:link w:val="711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11" w:customStyle="1">
    <w:name w:val="Без інтервалів Знак"/>
    <w:basedOn w:val="691"/>
    <w:link w:val="710"/>
    <w:uiPriority w:val="1"/>
    <w:rPr>
      <w:rFonts w:ascii="Calibri" w:hAnsi="Calibri" w:eastAsia="Calibri" w:cs="Times New Roman"/>
      <w:lang w:val="uk-UA"/>
    </w:rPr>
  </w:style>
  <w:style w:type="character" w:styleId="712" w:customStyle="1">
    <w:name w:val="Другое_"/>
    <w:basedOn w:val="691"/>
    <w:link w:val="713"/>
    <w:rPr>
      <w:rFonts w:ascii="Calibri" w:hAnsi="Calibri" w:eastAsia="Calibri" w:cs="Calibri"/>
      <w:sz w:val="20"/>
      <w:szCs w:val="20"/>
    </w:rPr>
  </w:style>
  <w:style w:type="paragraph" w:styleId="713" w:customStyle="1">
    <w:name w:val="Другое"/>
    <w:basedOn w:val="689"/>
    <w:link w:val="712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14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15" w:customStyle="1">
    <w:name w:val="Основной текст (2)_"/>
    <w:basedOn w:val="691"/>
    <w:link w:val="716"/>
    <w:rPr>
      <w:rFonts w:eastAsia="Times New Roman" w:cs="Times New Roman"/>
      <w:shd w:val="clear" w:color="auto" w:fill="ffffff"/>
    </w:rPr>
  </w:style>
  <w:style w:type="paragraph" w:styleId="716" w:customStyle="1">
    <w:name w:val="Основной текст (2)"/>
    <w:basedOn w:val="689"/>
    <w:link w:val="715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17" w:customStyle="1">
    <w:name w:val="Текст у виносці Знак"/>
    <w:basedOn w:val="691"/>
    <w:link w:val="71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18">
    <w:name w:val="Balloon Text"/>
    <w:basedOn w:val="689"/>
    <w:link w:val="717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19" w:customStyle="1">
    <w:name w:val="Текст у виносці Знак1"/>
    <w:basedOn w:val="691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20" w:customStyle="1">
    <w:name w:val="T23"/>
    <w:rPr>
      <w:rFonts w:hint="default" w:ascii="Times New Roman" w:hAnsi="Times New Roman" w:eastAsia="Times New Roman1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135</cp:revision>
  <dcterms:created xsi:type="dcterms:W3CDTF">2022-11-01T12:47:00Z</dcterms:created>
  <dcterms:modified xsi:type="dcterms:W3CDTF">2023-07-31T09:22:05Z</dcterms:modified>
</cp:coreProperties>
</file>